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Kalesnik Laura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 WEST HILL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Verano Holdings Corp.</w:t>
              </w:r>
            </w:hyperlink>
            <w:r>
              <w:rPr/>
              <w:t xml:space="preserve"> [ </w:t>
            </w:r>
            <w:r>
              <w:rPr>
                <w:rFonts w:ascii="Times;serif" w:hAnsi="Times;serif"/>
                <w:color w:val="0000FF"/>
                <w:sz w:val="24"/>
                <w:shd w:fill="FFFFFF" w:val="clear"/>
              </w:rPr>
              <w:t>VRNO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668,059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60,875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607,184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represents the grant and vesting of restricted stock units which settled into Common Stock, par value $0.001. The restricted stock units were granted on June 9, 2026 following Board approval and were fully vested at the time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General Counsel, Chief Legal Officer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Marie Kalesnik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1213" TargetMode="External"/><Relationship Id="rId5" Type="http://schemas.openxmlformats.org/officeDocument/2006/relationships/hyperlink" Target="http://www.sec.gov/cgi-bin/browse-edgar?action=getcompany&amp;CIK=0001848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3678</Characters>
  <CharactersWithSpaces>4296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