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Miles Aaron Nathaniel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224 WEST HILL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Verano Holdings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VRNO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06/09/2026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Chief Investment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center"/>
              <w:ind w:left="58"/>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4"/>
                <w:szCs w:val="14"/>
                <w:color w:val="auto"/>
              </w:rPr>
            </w:pPr>
          </w:p>
        </w:tc>
        <w:tc>
          <w:tcPr>
            <w:tcW w:w="3520" w:type="dxa"/>
            <w:vAlign w:val="bottom"/>
            <w:gridSpan w:val="9"/>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CHICAGO</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IL</w:t>
            </w:r>
          </w:p>
        </w:tc>
        <w:tc>
          <w:tcPr>
            <w:tcW w:w="86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60610</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06/09/2026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84"/>
                <w:vertAlign w:val="subscript"/>
              </w:rPr>
              <w:t>M</w:t>
            </w:r>
            <w:r>
              <w:rPr>
                <w:rFonts w:ascii="Times New Roman" w:cs="Times New Roman" w:eastAsia="Times New Roman" w:hAnsi="Times New Roman"/>
                <w:sz w:val="11"/>
                <w:szCs w:val="11"/>
                <w:color w:val="008000"/>
                <w:w w:val="84"/>
              </w:rPr>
              <w:t>(1)</w:t>
            </w:r>
          </w:p>
        </w:tc>
        <w:tc>
          <w:tcPr>
            <w:tcW w:w="7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200,000</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571,478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06/09/2026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(2)</w:t>
            </w:r>
          </w:p>
        </w:tc>
        <w:tc>
          <w:tcPr>
            <w:tcW w:w="760" w:type="dxa"/>
            <w:vAlign w:val="bottom"/>
            <w:tcBorders>
              <w:bottom w:val="single" w:sz="8" w:color="2C2C2C"/>
            </w:tcBorders>
          </w:tcPr>
          <w:p>
            <w:pPr>
              <w:jc w:val="right"/>
              <w:ind w:right="33"/>
              <w:spacing w:after="0"/>
              <w:rPr>
                <w:sz w:val="20"/>
                <w:szCs w:val="20"/>
                <w:color w:val="auto"/>
              </w:rPr>
            </w:pPr>
            <w:r>
              <w:rPr>
                <w:rFonts w:ascii="Times New Roman" w:cs="Times New Roman" w:eastAsia="Times New Roman" w:hAnsi="Times New Roman"/>
                <w:sz w:val="17"/>
                <w:szCs w:val="17"/>
                <w:color w:val="0000FF"/>
              </w:rPr>
              <w:t>58,600</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1.08</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512,878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grant and vesting of restricted stock units which settled into Common Stock, par value $0.001. The restricted stock units were granted on June 9, 2026 following Board approval and were fully vested at the time of the grant.</w:t>
      </w:r>
    </w:p>
    <w:p>
      <w:pPr>
        <w:spacing w:after="0" w:line="7"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par value $0.001 that have been withheld by the issuer to satisfy its income tax withholding and remittance obligations in connection with the net settlement of the restricted stock units and does not represent a sale. Such restricted stock units settled into shares of Common Stock on June 9, 2026.</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Laura Marie Kalesnik,</w:t>
            </w:r>
          </w:p>
        </w:tc>
        <w:tc>
          <w:tcPr>
            <w:tcW w:w="3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06/10/2026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5557" TargetMode="External"/><Relationship Id="rId14" Type="http://schemas.openxmlformats.org/officeDocument/2006/relationships/hyperlink" Target="http://www.sec.gov/cgi-bin/browse-edgar?action=getcompany&amp;CIK=00018484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2026-06-10T16:25:25Z</dcterms:created>
  <dcterms:modified xsi:type="dcterms:W3CDTF">2026-06-10T16:25:25Z</dcterms:modified>
</cp:coreProperties>
</file>