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Verano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720"/>
        <w:gridCol w:w="60"/>
        <w:gridCol w:w="1970"/>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98-1583243</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 West Hill Street, 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265-0730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George Archos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 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 West Hill Street, 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265-0730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of all communications, including communications sent to agent for service, should be sent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 M. Schwartz</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Sheppard, Mullin, Richter &amp; Hampton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 North Clark Street, 32nd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499-6300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on or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Verano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up to an aggregate of $1,000,000,000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offer and sell these securities, we will provide a supplement to this prospectus that contains specific information about that offering, as well the amounts, prices and terms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authorize one or more free writing prospectuses to be provided to you in connection with these offerings. The applicable prospectus supplement will also describe the specific manner in which we will offer these securities. The applicable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herein or therein, before you invest in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described in this prospectus and any prospectus supplement on a continuous or delayed basis to or through one or more underwriters, dealers and agents designated from time to time,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consummate a sale of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par value $0.001 (“Common Stock”), are listed on Cboe Canada (the “Cboe”) under the symbol “VRNO”. On July 6, 2026, the last reported sale price of a share of Common Stock on the Cboe was CAD $8.38 per share. Shares of our Common Stock are also quoted for trading in the U.S. on the OTCQX under the symbol “VRNOD” until on or around July 9, 2026, and thereafter under “VRNO”. On July 6, 2026, the last reported sale price of a share of Common Stock on the OTCQX was $5.84 per share. The applicable prospectus supplement will contain information, where applicable, as to any other listing on Cboe, OTCQX or any securities market or other exchange of the securities, if any, covered by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Investing in our securities involves a high degree of risk. You should carefully review the risks and uncertainties described under the heading “Risk Factors” on page 8 of this prospectus as well as those contained in the applicable prospectus supplement and any related free writing prospectus, and under similar headings in the other documents that are incorporated by reference into this prospectus and any applicable prospectus supplement. </w:t>
      </w: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i w:val="false"/>
          <w:caps w:val="false"/>
          <w:smallCaps w:val="false"/>
          <w:position w:val="7"/>
          <w:sz w:val="16"/>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245"/>
        <w:gridCol w:w="42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s-3_001">
              <w:r>
                <w:rPr>
                  <w:rStyle w:val="InternetLink"/>
                  <w:rFonts w:ascii="Times New Roman;Times;Serif" w:hAnsi="Times New Roman;Times;Serif"/>
                  <w:b w:val="false"/>
                  <w:i w:val="false"/>
                  <w:caps w:val="false"/>
                  <w:smallCaps w:val="false"/>
                  <w:sz w:val="20"/>
                </w:rPr>
                <w:t>ABOUT THIS PROSPECTUS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3_002">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3_003">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3_004">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3_005">
              <w:r>
                <w:rPr>
                  <w:rStyle w:val="InternetLink"/>
                  <w:rFonts w:ascii="Times New Roman;Times;Serif" w:hAnsi="Times New Roman;Times;Serif"/>
                  <w:b w:val="false"/>
                  <w:i w:val="false"/>
                  <w:caps w:val="false"/>
                  <w:smallCaps w:val="false"/>
                  <w:sz w:val="20"/>
                </w:rPr>
                <w:t>USE OF PROCEEDS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3_006">
              <w:r>
                <w:rPr>
                  <w:rStyle w:val="InternetLink"/>
                  <w:rFonts w:ascii="Times New Roman;Times;Serif" w:hAnsi="Times New Roman;Times;Serif"/>
                  <w:b w:val="false"/>
                  <w:i w:val="false"/>
                  <w:caps w:val="false"/>
                  <w:smallCaps w:val="false"/>
                  <w:sz w:val="20"/>
                </w:rPr>
                <w:t>DESCRIPTION OF CAPITAL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DESCRIPTION OF WARRANTS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DESCRIPTION OF RIGHTS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DESCRIPTION OF UNITS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CERTAIN U.S. FEDERAL INCOME TAX CONSIDERATIONS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PLAN OF DISTRIBUTION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6">
              <w:r>
                <w:rPr>
                  <w:rStyle w:val="InternetLink"/>
                  <w:rFonts w:ascii="Times New Roman;Times;Serif" w:hAnsi="Times New Roman;Times;Serif"/>
                  <w:b w:val="false"/>
                  <w:i w:val="false"/>
                  <w:caps w:val="false"/>
                  <w:smallCaps w:val="false"/>
                  <w:sz w:val="20"/>
                </w:rPr>
                <w:t>LEGAL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b w:val="false"/>
                  <w:i w:val="false"/>
                  <w:caps w:val="false"/>
                  <w:smallCaps w:val="false"/>
                  <w:sz w:val="20"/>
                </w:rPr>
                <w:t>EXPERTS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8">
              <w:r>
                <w:rPr>
                  <w:rStyle w:val="InternetLink"/>
                  <w:rFonts w:ascii="Times New Roman;Times;Serif" w:hAnsi="Times New Roman;Times;Serif"/>
                  <w:b w:val="false"/>
                  <w:i w:val="false"/>
                  <w:caps w:val="false"/>
                  <w:smallCaps w:val="false"/>
                  <w:sz w:val="20"/>
                </w:rPr>
                <w:t>WHERE YOU CAN FIND ADDITIONAL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sa_009">
              <w:r>
                <w:rPr>
                  <w:rStyle w:val="InternetLink"/>
                  <w:rFonts w:ascii="Times New Roman;Times;Serif" w:hAnsi="Times New Roman;Times;Serif"/>
                  <w:b w:val="false"/>
                  <w:i w:val="false"/>
                  <w:caps w:val="false"/>
                  <w:smallCaps w:val="false"/>
                  <w:sz w:val="20"/>
                </w:rPr>
                <w:t>INCORPORATION OF CERTAIN INFORMATION BY REFERENCE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s-3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utilizing a “shelf” registration process. Under this shelf registration process, we may sell up to an aggregate of $1,000,000,000 of any combination of the securities described in this prospectus from time to time in one or more offerings. This prospectus provides you with a general description of the securities we may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prospectus, we will, to the extent required by law, provide one or more prospectus supplements that will contain specific information about the terms of that offering. This prospectus may not be used to consummate sales of securities unless it is accompanied by a prospectus supplement.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or the applicable prospectus supplement. Therefore, if there is any inconsistency between the information in this prospectus and the prospectus supplement or free writing prospectus, you should rely on the information in the prospectus supplement or free writing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CONSUMMATE A SALE OF SECURITIES UNLESS IT IS ACCOMPANIED BY A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any applicable prospectus supplement or any related free writing prospectus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references in this prospectus to “Verano,” the “Company,” “we,” “us” and “our” refer to Verano Holdings Corp. The phrase “this prospectus” refers to this prospectus and any applicable prospectus supplement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3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and the applicable prospectus supplement. You should also carefully read the information incorporated by reference into this prospectus, including our financial statements, and the exhibits to the registration statement of which this prospectus is a part.</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Verano Holdings Corp., a Nevada corporation, one of the U.S. cannabis industry’s leading companies based on historical revenue, geographical scope and brand performance, is a vertically integrated, multi-state operator embracing a mission of saying </w:t>
      </w:r>
      <w:r>
        <w:rPr>
          <w:rFonts w:ascii="Times New Roman;Times;Serif" w:hAnsi="Times New Roman;Times;Serif"/>
          <w:b w:val="false"/>
          <w:i/>
          <w:caps w:val="false"/>
          <w:smallCaps w:val="false"/>
          <w:sz w:val="20"/>
        </w:rPr>
        <w:t xml:space="preserve">Yes </w:t>
      </w:r>
      <w:r>
        <w:rPr>
          <w:rFonts w:ascii="Times New Roman;Times;Serif" w:hAnsi="Times New Roman;Times;Serif"/>
          <w:b w:val="false"/>
          <w:i w:val="false"/>
          <w:caps w:val="false"/>
          <w:smallCaps w:val="false"/>
          <w:sz w:val="20"/>
        </w:rPr>
        <w:t>to plant progress and the bold exploration of cannabis. As an operator of licensed cannabis cultivation, processing, wholesale distribution and retail facilities, our goal is to support communal wellness by providing responsible access to regulated medical and adult use cannabis products. As of July 6, 2026, through our subsidiaries and affiliates we operate businesses in 13 states, including 162 retail dispensaries and 14 cultivation and processing facilities with over 1.1 million square feet of cultivation capacity. We produce a wide variety of cannabis products sold under our portfolio of consumer brands, including Encore™, Avexia™, MÜV™, Savvy™, (the) Essence™, BITS™, HYPHEN™, Swift Lifts™ and Verano™. We also design, build and operate branded dispensaries operating under the Zen Leaf™ and MÜV™ retail banners, among others, that deliver a cannabis shopping experience in both medical and adult use markets.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permissive regulatory environment of medical, and in some cases, also adult use (i.e., recreational) cannabis, at the state level, it remains illegal under U.S. federal law, subject to recently enacted exceptions as detailed below,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tetrahydrocannabinol and high cannabidiol products for specified medical uses. Verano operates within states where cannabis use, medical or both medical and adult use, has been approved by state and local regulatory bodies. On December 18, 2025, President Trump issued an executive order titled “Increasing Medical Marijuana and Cannabidiol Research,” (the “Executive Order”) which directs federal agencies to expedite the process of rescheduling cannabis from a Schedule I to a Schedule III controlled substance under the Controlled Substances Act (21 U.S.C. § 811) (the “CSA”). On April 23, 2026, the Justice Department in accordance with the Executive Order issued a final order (the “Final Order”) implementing a rule that places FDA approved products containing cannabis and products regulated by state medical marijuana licenses in Schedule III. The Justice Department also initiated an expedited administrative hearing process (the “Hearing Process”) to consider the broader rescheduling of cannabis to Schedule III. The Final Order creates a pathway for state licensed medical operators to legally cultivate, manufacture, and dispense medical only products, and could also remove Section 280E of the Internal Revenue Code of 1986, as amended (“Section 280E”) tax considerations from the medical aspect of Verano’s operations. Until the issuance of an order by the administrative law judge following the conclusion of the Hearing Process, adult use or recreational cannabis remains a Schedule I drug, subject to 280E tax constraints. Issuance of an order rescheduling all cannabis to Schedule III is not guaranteed. Verano remains subject to federal laws, including those prohibiting recreational cannabis, during the pendency of the hearing and following the outcome. The final effects of the Executive Order and Final Order are dependent on other government actions. Despite such actions and the ongoing Hearing Process, there can be no guarantees that the Hearing Process will continue on a certain timeline or at all or that any rules will come out of the Hearing Process that will benefit the Company. The Executive Order and Final Order do not federally legalize recreational adult use, and rescheduling of cannabis in full to Schedule III would not legalize adult use or recreational cannabis, but could remove the 280E constraints for the full range of Verano’s operations.</w:t>
      </w:r>
    </w:p>
    <w:p>
      <w:pPr>
        <w:pStyle w:val="TextBody"/>
        <w:bidi w:val="0"/>
        <w:spacing w:before="0" w:after="0"/>
        <w:ind w:left="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of cannabis brands and products at scale. Our cultivation, processing and distribution of cannabis consumer packaged goods are designed to support our retail dispensaries, as well as to develop and foster long term wholesale supply relationships with third-party retail operators. Our model includes establishing a diverse geographic footprint that allows us to adapt to changes in both industry and market conditions.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headquarters of Verano is located at 224 W. Hill Street, Suite 400, Chicago, Illinois 60610. Verano’s telephone number is (312) 265-0730. Verano’s internet address is www.verano.com.</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on our website or connected to our website is not incorporated by reference into and should not be considered part of this prospectus or the registration statement of which it forms a part.</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Description of Securities We May Offer</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w:t>
      </w:r>
    </w:p>
    <w:p>
      <w:pPr>
        <w:pStyle w:val="TextBody"/>
        <w:bidi w:val="0"/>
        <w:spacing w:before="0" w:after="0"/>
        <w:ind w:left="2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any of the other securities that may be sold under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tc>
      </w:tr>
    </w:tbl>
    <w:p>
      <w:pPr>
        <w:pStyle w:val="TextBody"/>
        <w:bidi w:val="0"/>
        <w:spacing w:before="0" w:after="0"/>
        <w:ind w:left="20" w:right="0" w:firstLine="34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offers by us may be made from time to time, at any time, and will be made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or classification;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or aggregate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conversion, exchange or sinking fund terms,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or exchange prices or rates, if any, and, if applicable, any provisions for changes to or adjustments in the conversion or exchange prices or rates and in the securities or other property receivable upon conversion or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ranking, if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covenants,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or other rights,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U.S. federal income tax considerations.</w:t>
            </w:r>
          </w:p>
        </w:tc>
      </w:tr>
    </w:tbl>
    <w:p>
      <w:pPr>
        <w:pStyle w:val="TextBody"/>
        <w:bidi w:val="0"/>
        <w:spacing w:before="0" w:after="0"/>
        <w:ind w:left="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a sale of securities unless it is accompanied by a prospectus supplement.</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pStyle w:val="TextBody"/>
        <w:bidi w:val="0"/>
        <w:spacing w:before="0" w:after="0"/>
        <w:ind w:left="2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those underwriters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fees, discounts and commissions to be paid to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options to purchase additional securities,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net proceeds to us.</w:t>
            </w:r>
          </w:p>
        </w:tc>
      </w:tr>
    </w:tbl>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We may issue shares of Common Stock from time to time. Each share of Common Stock entitles the holder to one vote.</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Warrants. </w:t>
      </w:r>
      <w:r>
        <w:rPr>
          <w:rFonts w:ascii="Times New Roman;Times;Serif" w:hAnsi="Times New Roman;Times;Serif"/>
          <w:b w:val="false"/>
          <w:i w:val="false"/>
          <w:caps w:val="false"/>
          <w:smallCaps w:val="false"/>
          <w:sz w:val="20"/>
        </w:rPr>
        <w:t>We may issue warrants for the purchase of Common Stock in one or more series. We may issue warrants independently or together with Common Stock, and the warrants may be attached to or separate from these securities. In this prospectus, we have summarized certain general features of the warrants under “Description of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w:t>
      </w:r>
      <w:r>
        <w:rPr>
          <w:rFonts w:ascii="Times New Roman;Times;Serif" w:hAnsi="Times New Roman;Times;Serif"/>
          <w:b w:val="false"/>
          <w:i w:val="false"/>
          <w:caps w:val="false"/>
          <w:smallCaps w:val="false"/>
          <w:sz w:val="20"/>
        </w:rPr>
        <w:t>We may issue rights to our stockholders to purchase shares of our Common Stock or other securities. In this Prospectus, we have summarized certain general features of the rights under “Description of Rights”. We urge you, however, to read the applicable prospectus supplement (and any free writing prospectus that we may authorize to be provided to you) related to the series of rights being offered.</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evidence each series of rights by rights certificates that we may issue under a separate rights agreement with a rights agent. If applicable, we will file as exhibits to the registration statement of which this prospectus is a part, or will incorporate by reference from reports that we file with the SEC, the rights agreements that describe the terms of the series of rights we are offering before the issuance of the related series of rights.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Units. </w:t>
      </w:r>
      <w:r>
        <w:rPr>
          <w:rFonts w:ascii="Times New Roman;Times;Serif" w:hAnsi="Times New Roman;Times;Serif"/>
          <w:b w:val="false"/>
          <w:i w:val="false"/>
          <w:caps w:val="false"/>
          <w:smallCaps w:val="false"/>
          <w:sz w:val="20"/>
        </w:rPr>
        <w:t>We may offer units consisting of shares of Common Stock and warrants in any combination. In this Prospectus, we have summarized certain general features of the units under “Description of Units”. We urge you, however, to read the applicable prospectus supplement (and any free writing prospectus that we may authorize to be provided to you) related to the series of units being offered.</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evidence each series of units by unit certificates that we may issue under a separate unit agreement with a unit agent. If applicable, we will file as exhibits to the registration statement of which this prospectus is a part, or will incorporate by reference from reports that we file with the SEC, the unit agreements that describe the terms of the series of units we are offering before the issuance of the related series of units.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3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Prior to making a decision about investing in our securities, in addition to the risks and uncertainties discussed below under “Cautionary Note Regarding Forward-Looking Statements,” you should consider carefully the specific risk factors discussed in the section entitled “Risk Factors” contained in our most recent Annual Report on Form 10-K for the year ended December 31, 2025, as filed with the SEC on March 12, 2026 (the “Form 10-K”), which is incorporated in this prospectus by reference in its entirety, as well as any amendment or updates to our risk factors reflected in subsequent filings with the SEC, including any prospectus supplement hereto. These risks and uncertainties are not the only risks and uncertainties we face. Additional risks and uncertainties not presently known to us, or that we currently view as immaterial, may become material and also impair our business. Past financial performance may not be a reliable indicator of future performance, and historical trends should not be unduly relied upon to anticipate results or trends in future periods.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 Please also carefully read the section below titled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3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documents incorporated by reference or deemed incorporated by reference, and any prospectus supplement contain or may contain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are based on certain key expectations and assumptions, including, but not limited to, expectations and assumptions concerning: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maintain and renew licenses and other regulatory approvals in all states and localities of our operations and planned operations on a timely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including future U.S. state and federal legislative and regulatory developments involving medical and adult use cannabis and the timing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outlook on our expansion and growth of business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our goals, business plans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capital and obtain necessary financing to pursue our growth and business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operational results and other financial and business conditions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completion of acquisitions and other commercial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and operation of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capital expenditures;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facilities, equipment, skilled labor and services needed for cannabis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developments and trends in the medical and adult use cannabis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 cannabis industry in the markets in which we operate or plan to operate;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benefits, viability, safety, efficacy, and dosing of cannabis;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medical cannabis market and the adult use cannabis market in each state;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general economic and financial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illegality of cannabis under federal law, subject to recently enacted exceptions, the U.S. federal regulatory landscape and enforcement related to medical or adult use cannabis, including political risks, civil asset forfeiture and regulation by additional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political changes to U.S. federal, state and local laws related to medical or adult use cannabis, including political risks and regulation by additional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rescheduling may lower the barriers to entry for well-capitalized institutional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rescheduling process is subject to significant procedural delays and legal challenges;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economic uncertainty stemming from disruptions in U.S. and global markets, inflation, rising interest rates, and changes in consumer and business confidence;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indebtedness and potential future indebtedness, including our ability to repay such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key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existing and new products and potential returns or recalls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cultivation biosecurity failures;</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acceptance of our brand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forecasted demand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manage, and monetize inventory;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fraudulent activity by employees, contractors and consultants;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growth-related operational and execution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findings in our clinical research with respect to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liability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natural phenomena and resulting potential uninsured or under insured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property will be subject to civil asset forfeiture;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structure and our resulting reliance on the performance of our subsidiaries and affiliates;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expansion-by-acquisition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acquire businesses and cannabis licenses in desired markets and the integration and operation of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typically limited operations of businesses we acquire;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unconventional due diligence process in the cannabis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acquire and lease properties suitable for the cultivation, production and sale of cannabis;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limited representations and warranties of businesses we may acquire;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businesses in developing cannabis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portfolio diversification by industry and geographic concentration;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joint ventures, strategic partnerships and alliances;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relationships with our consolidated variable interest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competition and new market entrants;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synthetic alternatives to cannabis products by pharmaceutical and other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immaturity of the cannabis industry and limited comparable, competitive and established industry best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and our reliance on third-party suppliers, service providers, contractors and manufacturers, and any significant interruption of these relationships, including negative changes to quality, availability, pricing, trade policy and other economics;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trade policy, including the imposition of tariffs and the resulting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wholesale and retail price fluctuations;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opinion and perception of the cannabis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raw or other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or volatile energy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agricultural and environmental risks and the impacts of environmental regulations on the cannabis industry and environmental protections;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security risks, such as theft;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disparate state-by-state regulatory landscapes and licensing regimes for medical and adult use cannabis;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difficulties cannabis businesses face accessing and maintaining banking or financial services due to federal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difficulty of complying with various regulatory schemes;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state social equity legislation as it relates to the cannabis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high bonding and insurance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changes in laws and policies governing employees and by union organizing activity;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unionization efforts and labor shortages;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scrutiny from Canadian authorities due to our status as a reporting issuer under applicable securities legislation in all of the provinces and territories of Canada, being classified thereunder as an “SEC Foreign Issuer” for the purposes of Canadian securities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divestment of licenses if required by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dependency on the banking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public disclosure and governmental filings containing personal information of our officers, investors and other stakeholders;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findings by regulatory authorities that one of our stockholders is unsuitable;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directors, officers, employees or investors are barred from entering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and constraints on, promoting and marketing cannabis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U.S. Food and Drug Administration governance of the cannabis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limitations on our ability to enforce our contracts or any liens granted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lack of access to federal bankruptcy protections in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information technology systems, the potential disclosure of personal information of patients and customers and cybersecurity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increasing use of, or failure to effectively implement, artificial intelligence (AI) and automated systems;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software providers;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preserving our brand identity;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due to limited intellectual property protection available for cannabis products and the potential infringement by third 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infringement or misappropriation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financial crimes;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realize the anticipated benefits of the Company’s continuance out from the jurisdiction of the Province of British Columbia, Canada, to the jurisdiction of the U.S. State of Nevada, or to do so within the anticipated timeframe;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receiving no return on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elimination of individual liability and indemnification rights against our directors, officers and employees under Nevada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organizational documents contain provisions that may prevent transactions that could be beneficial to our stockholders and may insulate our management from removal;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resources necessary to comply with corporate governance practices and securities rules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ability to maintain effective internal controls;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dilution if we issue additional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perception of sales of a substantial amount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on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volatility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limited participation in our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to not declare or pay out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holding Common Stock representing greater than 5% of our voting power;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cannabis companies in the U.S., including the impact of Section 280E;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described in the Form 10-K, as more particularly described under the heading “Item 1A. Risk Factors” therein.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all forward-looking statements made in this prospectus, documents incorporated by reference or deemed incorporated by reference, and any prospectus supplement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3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by us hereby. Except as described in any prospectus supplement or any related free writing prospectus that we may authorize to be provided to you, we currently intend to use the net proceeds from the sale of the securities offered hereby for general corporate purposes, which may include capital expenditures, working capital and general and administrative expenses. We will set forth in the applicable prospectus supplement or free writing prospectus our intended use for the net proceeds received from the sale of any securities sold pursuant to the prospectus supplement or free writing prospectus relating to a particular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3_006"/>
      <w:bookmarkEnd w:id="7"/>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capital stock is incorporated by reference to Exhibit 4.1 to our Current Report on Form 8-K12G3 filed on November 4,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a_001"/>
      <w:bookmarkEnd w:id="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shares of Common Stock and may be issued in one or more series. Warrants may be issued independently or together with shares of Common Stock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For the terms of a particular series of warrants you should refer to the prospectus supplement for that series of warrants and the warrant agreement for that particular series, which we will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warrants being offered,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or prices and aggregate number of warrants offered;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for which the warrants may be purchased;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purchasable upon the exercise of one warrant and the price at which, and the currency in which, these shares may be purchased upon such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any merger, consolidation, sale or other disposition of our business on the warrant agreements and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force the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warrants will commence and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warrant agreements and warrants may be modified;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U.S. federal income tax consequences of holding or exercising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warrants;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 the right to receive dividends, if any, or, payments upon our liquidation, dissolution or winding up or to exercise voting rights, if 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of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warrant certificate or in the notice of exercise associated therewith and in the applicable prospectus supplement the information that the holder of the warrant will be required to deliver to the warrant agent in connection with the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number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Enforceability of Rights by Holders of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any warrant agreement and the warrants will be governed by, and construed in accordance with, the laws of the state of New York applicable therein, and if there is any change to the governing law, we will disclose such governing law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a_002"/>
      <w:bookmarkEnd w:id="9"/>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our stockholders to purchase shares of our Common Stock or other securities.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statements made in this section relating to the rights are summaries only. These summaries are not complete. When we issue rights, we will provide the specific terms of the rights and the applicable rights agreement in a prospectus supplement. To the extent the information contained in the prospectus supplement differs from this summary description, you should rely on the information in the prospectus supplement. For more detail, we refer you to the applicable rights agreement itself, which we will file as an exhibit to, or incorporate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the rights in respect of which this prospectus is being delivered, including, where applicable,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stockholders entitled to the rights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our shares of Common Stock or other securities purchasable upon exercise of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rights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 will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U.S. federal income tax consequences;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rights, including terms, procedures and limitations relating to the distribution,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of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our Common Stock or other securities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other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any rights agreement and the rights will be governed by, and construed in accordance with, the laws of the state of New York and if there is any change to the governing law, we will disclose such governing law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a_003"/>
      <w:bookmarkEnd w:id="1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together with the additional information we may include in any applicable prospectus supplements does not purport to be complete and is subject to, and qualified in its entirety by reference to, the form of unit agreement and form of unit certificate relating to each series of units, which we will file as an exhibit to, or incorporate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shares of Common Stock and warrants.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Capital Stock” and “Description of Warrants” will apply to each unit and to any shares of Common Stock or warrants included in each unit,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in Series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Enforceability of Rights by Holders of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any units agreement and the units will be governed by, and construed in accordance with, the laws of the state of New York, and if there is any change to the governing law, we will disclose such governing law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a_004"/>
      <w:bookmarkEnd w:id="11"/>
      <w:r>
        <w:rPr>
          <w:rFonts w:ascii="Times New Roman;Times;Serif" w:hAnsi="Times New Roman;Times;Serif"/>
          <w:b/>
          <w:i w:val="false"/>
          <w:caps w:val="false"/>
          <w:smallCaps w:val="false"/>
          <w:sz w:val="20"/>
        </w:rPr>
        <w:t>CERTAIN U.S.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U.S. federal income tax considerations applicable to a U.S. Holder or a Non-U.S. Holder (each as defined below) arising from the ownership and disposition of our Common Stock offered by this prospectus. Certain U.S. federal income tax considerations arising from the ownership and disposition of Warrants, rights and units offered by this prospectus will be provided in the applicable prospectus supplement. This summary is for general information purposes only and does not purport to be a complete analysis or listing of all potential U.S. federal income tax considerations that may apply to a U.S. Holder or Non-U.S. Holder. In addition, this summary does not take into account the individual facts and circumstances of any particular U.S. Holder or Non-U.S. Holder that may affect the U.S. federal income tax consequences to such holder (as discussed below), including specific tax consequences to a holder under an applicable tax treaty. Accordingly, this summary is not intended to be, and should not be construed as, legal or U.S. federal income tax advice with respect to any holder. This summary is limited to U.S. federal income tax considerations, and does not address the U.S. federal alternative net investment income, U.S. federal estate and gift, U.S. state and local, or non-U.S. tax consequences of the ownership and disposition of such Common Stock. Except as specifically set forth below, this summary does not discuss applicable income tax reporting requirements. Each holder should consult its own tax advisor regarding all U.S. federal, U.S. state and local, and non-U.S. tax consequences of the ownership and disposition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from U.S. legal counsel or ruling from the Internal Revenue Service (“IRS”) has been requested, or will be obtained, regarding the U.S. federal income tax consequences of the ownership and disposition of Common Stock.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the U.S. federal income tax consequences to any particular person of the ownership and disposition of Common Stock. Each holder should consult its own tax advisor regarding all U.S. federal, U.S. state and local, and non-U.S. tax consequences of the ownership and disposition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of This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Code, proposed, final and temporary U.S. Treasury Regulations, published rulings of the IRS, published administrative positions of the IRS, and U.S. court decisions that are applicable and, in each case, as in effect and available, as of the date of this registration statement. Any of the authorities on which this summary is based could be changed in a material and adverse manner at any time, and any such change could be applied on a prospective or retroactive basis which could affect the U.S. federal income tax considerations described in this summary. This summary does not discuss the potential effects, whether adverse or beneficial, of any proposed legislation that, if enacted, could be applied on a retroactive or prospective basis.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the term “U.S. Holder” means a beneficial owner of Common Stock that is for U.S. federal income tax purposes:</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or under the laws of the United States,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(a) is subject to the primary supervision of a court within the United States and the control of one or more U.S. persons for all substantial decisions or (b) has a valid election in effect under applicable U.S. Treasury Regulations to be treated as a U.S. person.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for purposes of this discussion, a “Non-U.S. Holder” is any beneficial owner of Common Stock who is neither a U.S. Holder nor an entity classified as a partnership for U.S. federal income tax purposes.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Subject to Special U.S. Federal Income Tax Rules Not Addressed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the U.S. federal income tax consequences of the ownership and disposition of Common Stock that are subject to special provisions under the Code, including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Stock as part of a straddle, hedging transaction, conversion transaction, constructive sale, or other arrangement involving more than one position; (f) acquired Common Stock in connection with the exercise of employee stock options or otherwise as compensation for services; (g) hold Common Stock other than as a capital asset within the meaning of Section 1221 of the Code (generally, property held for investment purposes); (h) own, directly, indirectly, or by attribution, 5% or more, by voting power or value, of the outstanding Common Stock; (i) are required to accelerate the recognition of any item of gross income for U.S. federal income tax purposes with respect to Common Stock as a result of such item being taken into account in an applicable financial statement; (j) acquired Common Stock by gift or inheritance; (k) are certain former citizens or long-term residents of the United States; (l) are pension plans; or (m) are integral parts or controlled entities of foreign sovereigns. Holders that are subject to special provisions under the Code, including those holders described immediately above, should consult their own tax advisors regarding all U.S. federal, U.S. state and local, and non-U.S. tax consequences relating to the ownership and disposition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(including any other “pass-through” entity) for U.S. federal income tax purposes holds Common Stock, the U.S. federal income tax consequences to such partnership and the partners (or owners) of such partnership of participating in the ownership and disposition of Common Stock generally will depend on the activities of the partnership and the status of such partners (or owners). This summary does not address the tax consequences to any such partnership or partner (or owner). Partners (or owners) of entities and arrangements that are classified as partnerships for U.S. federal, U.S. state and local, and non-tax purposes should consult their own tax advisors regarding the U.S. federal income tax consequences of the ownership and disposition of Common Stock.</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Tax Considerations Relevant to the Ownership and Disposition of Common Stock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anticipate paying distributions on our Common Stock. If Verano makes distributions with respect to shares of Common Stock, the distributions generally will be treated as U.S. source dividends to a U.S. Holder of shares of Common Stock to the extent of Verano’s current and accumulated earnings and profits as determined under U.S. federal income tax principles at the end of the tax year in which the distribution occurs. To the extent the distributions exceed Verano’s current and accumulated earnings and profits, the excess will be treated first as a tax-free return of capital to the extent of the U.S. Holder’s adjusted tax basis in the Common Stock, and thereafter as gain from the sale or exchange of that share of Common Stock. Corporate U.S. Holders may be entitled to claim the dividends-received deduction with respect to dividends paid on the Common Stock, and such dividends may constitute qualified dividend income to individual U.S. Holders, subject in each case to applicable restrictions and eligibility requirements.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or other taxable disposition of a share of Common Stock, U.S. Holders generally will recognize capital gain or loss equal to the difference between the amount realized by such holders on the disposition and their adjusted tax basis in such share of Common Stock. Such gain or loss generally will be long-term capital gain or loss if the U.S. Holder held, or is treated as having held, such share of Common Stock for more than one year as of the time of disposition. Long-term capital gains of individuals are currently eligible for reduced rates of taxation. The deductibility of capital losses is subject to limitations.</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Tax Considerations Relevant to the Ownership and Disposition of Common Stock for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Verano makes distributions with respect to a share of Common Stock, the distributions generally will be treated as dividends to a Non-U.S. Holder of a share of Common Stock to the extent of Verano’s current and accumulated earnings and profits as determined under U.S. federal income tax principles at the end of the tax year in which the distribution occurs. To the extent the distributions exceed Verano’s current and accumulated earnings and profits, the excess will be treated first as a tax-free return of capital to the extent of the Non-U.S. Holder’s adjusted tax basis in such share of Common Stock, and thereafter as gain from the sale or exchange of such share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generally will be subject to U.S. withholding tax at a rate of 30% of the gross amount unless the Non-U.S. Holder is eligible for and properly claims a reduced rate of withholding under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will not be subject to U.S. withholding tax, unless Verano is classified as a USRPHC, provided certain certification and disclosure requirements are satisfied. Instead, such dividends are subject to U.S. federal income tax on a net income basis in the same manner as if the Non-U.S. Holder were a U.S. Holder. Any such effectively connected dividends received by a foreign corporation may be subject to an additional “branch profits tax” equal to 30% of its effectively connected earnings and profits (subject to certain adjustments) or at such lower rate as may be specified by an applicable income tax treaty. A Non-U.S. Holder eligible for a reduced rate of U.S. withholding tax pursuant to an income tax treaty may obtain a refund of any excess amounts withheld by timely filing an appropriate claim for refund with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 believes that it presently is not a USRPHC and it does not presently anticipate that it will become a USRPHC. However, if Verano is treated as a USRPHC, gain recognized by such holder on the sale, taxable exchange or other disposition of Common Stock will be subject to tax at generally applicable U.S. federal income tax rates if Verano is or has been a USRPHC for U.S. federal income tax purposes at any time during the shorter of the five-year period ending on the date of disposition or the period that the Non-U.S. Holder held the Common Stock, and, in the case where the Common Stock is regularly traded on an established securities market, the Non-U.S. Holder has owned, directly or constructively, more than 5% of Common Stock at any time within the shorter of the five-year period preceding the disposition or such Non-U.S. Holder’s holding period for the Common Stock. There can be no assurance that the Common Stock will be treated as regularly traded on an established securities market for this purpose. In addition, Verano may be required to withhold U.S. income tax at a rate of 15% of the amount realized upon such disposition. You are urged to consult your own tax advisors regarding the application of these rules.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Non-U.S. Holder generally will not be subject to U.S. federal income tax on gain recognized upon the sale, exchange or other taxable disposition of shares of Common Stock unless: (i) the gain is effectively connected with the conduct of a trade or business by the Non-U.S. Holder within the United States (and, if required by an applicable income tax treaty, is attributable to a U.S. permanent establishment or fixed base maintained by the Non-U.S. Holder in the United States), in which case the gain will be subject to U.S. federal income tax at generally applicable rates, and a Non-U.S. Holder that is a foreign corporation may also be subject to the “branch profits tax” at a rate of 30% (or lower applicable treaty rate); (ii) the Non-U.S. Holder is an individual who is present in the United States for 183 days or more in the taxable year of the disposition and certain other conditions are met, in which case the Non-U.S. Holder will generally be subject to a flat 30% U.S. federal income tax on the gain (which may be offset by U.S. source capital losses); or (iii) Verano is or has been a USRPHC at any time during the shorter of the five-year period ending on the date of the disposition or the Non-U.S. Holder’s holding period for the Common Stock, and, in the case where the Common Stock is regularly traded on an established securities market, the Non-U.S. Holder has owned, directly or constructively, more than 5% of the Common Stock at any time within such period. As noted above, Verano believes that it is not currently a USRPHC and does not anticipate becoming one, but no assurance can be given that the Common Stock will be treated as regularly traded on an established securities market for this purpose or that Verano will not become a USRPHC in the future.</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are urged to consult their own tax advisors regarding the application of these rules to their particular circumstances, including the potential applicability of income tax treaties.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Account Tax Compliance Act (“FATCA”), a 30% withholding tax may apply to payments of dividends on stock made to foreign financial institutions (including amounts paid to a foreign financial institution on behalf of a holder) and certain other non-financial foreign entities. Additionally, a 30% withholding tax may apply to payments of gross proceeds from the disposition of stock made to such institutions and entities; however, proposed Treasury Regulations eliminate this 30% withholding tax on payments of gross proceeds. Taxpayers may rely on these proposed Treasury Regulations until final Treasury Regulations are issued. There can be no assurance that final Treasury Regulations would provide an exemption from FATCA for gross proceeds.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under FATCA generally will not apply where such payments are made to (i) a foreign financial institution that undertakes, under either an agreement with the United States Treasury or pursuant to an intergovernmental agreement between the jurisdiction in which it is a resident and the United States Treasury, to identify accounts held by certain United States persons or United States-owned foreign entities, annually report certain information about such accounts, and withhold 30% on payments to noncompliant foreign financial institutions and certain other account holders; (ii) a non-financial foreign entity that either certifies it does not have any substantial United States owners or furnishes identifying information regarding each substantial United States owner to the United States Treasury; or (iii) a foreign financial institution or non-financial foreign entity that is exempt from these rules. Investors should consult their tax advisors regarding this legislation and the regulations thereunder.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or of proceeds on the disposition of Common Stock to U.S. Holders may be subject to information reporting and backup withholding unless the U.S. Holder (i) is a corporation or comes within certain other exempt categories and demonstrates this fact, or (ii) provides a correct taxpayer identification number, certifies as to no loss of exemption from backup withholding and otherwise complies with applicable requirements of the backup withholding rules. Non-U.S. Holders may be required to provide documentary evidence establishing they are not subject to information reporting and backup withholding. Payments of dividends to Non-U.S. Holders and the amount of U.S. federal withholding tax imposed on such dividends must generally be reported annually to the IRS. A similar report will be sent to Non-U.S. Holders. Copies of these reports may be made available to tax authorities in a holder’s country of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will be allowed as a refund or a credit against a holder’s U.S. federal income tax liability, provided the required information is furnished to the IRS on a timely basis.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a_005"/>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by this prospectus from time to time separately or together through any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one or more underwriters or dealers in a public offering and sale by them;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investors;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block trades in which the broker or dealer engaged to handle the block trade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415(a)(4) under the Securities Act of 1933, as amended (the “Securities Act”), into an existing trading market, or a securities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combination of these methods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manner permitted by applicable law, as provided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securities from time to time in one or more transactions:</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fixed price or prices, which may be changed;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times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prices related to such prevailing market prices;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method of distribution of the securities in the applicable prospectus supplement. We may also determine the price or other terms of the securities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shares of our Common Stock, which are listed on Cboe under the symbol “VRNO” and are also quoted for trading in the U.S. on the OTCQX under the symbol “VRNOD” until on or around July 9, 2026, and thereafter under the symbol “VRNO”.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or agents may receive compensation in the form of discounts, concessions or commissions from us or our purchasers (as their agents in connection with the sale of the securities). In addition, underwriters may sell the securities to or through dealers, and those dealers may receive compensation in the form of discounts, concessions or commissions from the underwriters and/or commissions from the purchasers for whom they act as agent.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will identify any such underwriter, dealer or agent, and describe any compensation received by them from us. Only underwriters named in the prospectus supplement are underwriters of the securities offered by the prospectus supplement. Any initial public offering price and any discounts or concessions allowed or reallowed or paid to dealers may be changed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shares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underwriters who participate in the distribution of the securities an option to purchase additional securities to cover overallotments, if any, in connection with the distribution. Any underwriter may engage in overallotment, stabilizing transactions, short-covering transactions and penalty bids in accordance with Regulation M that stabilize, maintain or otherwise affect the price of the offered securities. Overallotment involves sales in excess of the offering size, which creates a short position. Stabilizing transactions permit bids to purchase the underlying security so long as the stabilizing bids do not exceed a specified maximum. Short-covering transactions involve purchases of the Common Stock in the open market after the distribution is completed to cover short positions. Penalty bids permit the underwriters to reclaim a selling concession from a dealer when the Common Stock originally sold by the dealer are purchased in a covering transaction to cover short positions. Those activities may cause the price of the Common Stock to be higher than it would otherwise be. If commenced, the underwriters may discontinue any of the activities at any time. If any such activities are expected to occur, they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and their associates may be customers of, engage in transactions with or perform services for us in the ordinary course of business and any such relationships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10% of the net proceeds of any offering of securities made under this prospectus will be received by the Financial Industry Regulatory Authority (“FINRA”) members participating in the offering or affiliates or associated persons of such FINRA members, the offering will be conducted in accordance with FINRA Conduct Rule 5110(h).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a_006"/>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regard to the validity of the securities offered pursuant to this prospectus and any prospectus supplement will be passed upon for us by Sheppard, Mullin, Richter &amp; Hampton LLP, Chicago, Illinois, and for any underwriters or agents by counsel named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a_007"/>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Verano Holdings Corp. as of and for the year ended December 31, 2023, December 31, 2024 and December 31, 2025 incorporated in this prospectus by reference have been audited by Macias Gini &amp; O’Connell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a_008"/>
      <w:bookmarkEnd w:id="15"/>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Verano’s internet address is www.verano.com.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the registration statement of which this prospectus is a part and you should not consider it a part of this prospectus or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an internet site that contains reports, proxy and information statements, and other information regarding issuers that file electronically with the SEC at http://www.sec.gov. The Company also files reports, circulars, annual information statements, and other information regarding the Company with the securities regulatory authorities of Canada via the System for Electronic Document Analysis and Retrieval at </w:t>
      </w:r>
      <w:r>
        <w:rPr>
          <w:rFonts w:ascii="Times New Roman;Times;Serif" w:hAnsi="Times New Roman;Times;Serif"/>
          <w:b w:val="false"/>
          <w:i w:val="false"/>
          <w:caps w:val="false"/>
          <w:smallCaps w:val="false"/>
          <w:sz w:val="20"/>
          <w:u w:val="single"/>
        </w:rPr>
        <w:t>www.sedar.com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have filed under the Securities Act with the SEC. This prospectus, which constitutes a part of that registration statement, does not contain all of the information included in the registration statement and the exhibits and schedules filed as part of the registration statement. For further information with respect to us and our securities, we refer you to the registration statement and the exhibits and schedules filed as part of the registration statement. Statements contained in this prospectus as to the contents of any document are not necessarily complete. If a document has been filed as an exhibit to the registration statement, we refer you to the copies of the document that has been filed. Each statement in this prospectus relating to a document filed as an exhibit is qualified in all respects by the filed exhibit.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a_009"/>
      <w:bookmarkEnd w:id="16"/>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them, which means that we can disclose important information to you by referring you to those documents. In accordance with Rule 412 of the Securities Act, any statement contained or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u w:val="single"/>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12,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3">
              <w:r>
                <w:rPr>
                  <w:rStyle w:val="InternetLink"/>
                  <w:rFonts w:ascii="Times New Roman;Times;Serif" w:hAnsi="Times New Roman;Times;Serif"/>
                  <w:b w:val="false"/>
                  <w:i w:val="false"/>
                  <w:caps w:val="false"/>
                  <w:smallCaps w:val="false"/>
                  <w:sz w:val="20"/>
                  <w:u w:val="single"/>
                </w:rPr>
                <w:t>Form 10-Q</w:t>
              </w:r>
            </w:hyperlink>
            <w:r>
              <w:rPr>
                <w:rFonts w:ascii="Times New Roman;Times;Serif" w:hAnsi="Times New Roman;Times;Serif"/>
                <w:b w:val="false"/>
                <w:i w:val="false"/>
                <w:caps w:val="false"/>
                <w:smallCaps w:val="false"/>
                <w:sz w:val="20"/>
              </w:rPr>
              <w:t xml:space="preserve"> for the quarter ended March 31, 2026, filed with the SEC on April 30,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(other than information furnished rather than filed) filed with the SEC on </w:t>
            </w:r>
            <w:hyperlink r:id="rId4">
              <w:r>
                <w:rPr>
                  <w:rStyle w:val="InternetLink"/>
                  <w:rFonts w:ascii="Times New Roman;Times;Serif" w:hAnsi="Times New Roman;Times;Serif"/>
                  <w:b w:val="false"/>
                  <w:i w:val="false"/>
                  <w:caps w:val="false"/>
                  <w:smallCaps w:val="false"/>
                  <w:sz w:val="20"/>
                </w:rPr>
                <w:t>January 15,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1,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June 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June 11,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18,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June 23,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information specifically incorporated by reference into our Annual Report on </w:t>
            </w:r>
            <w:hyperlink r:id="rId14">
              <w:r>
                <w:rPr>
                  <w:rStyle w:val="InternetLink"/>
                  <w:rFonts w:ascii="Times New Roman;Times;Serif" w:hAnsi="Times New Roman;Times;Serif"/>
                  <w:b w:val="false"/>
                  <w:i w:val="false"/>
                  <w:caps w:val="false"/>
                  <w:smallCaps w:val="false"/>
                  <w:sz w:val="20"/>
                  <w:u w:val="single"/>
                </w:rPr>
                <w:t>Form 10-K</w:t>
              </w:r>
            </w:hyperlink>
            <w:r>
              <w:rPr>
                <w:rFonts w:ascii="Times New Roman;Times;Serif" w:hAnsi="Times New Roman;Times;Serif"/>
                <w:b w:val="false"/>
                <w:i w:val="false"/>
                <w:caps w:val="false"/>
                <w:smallCaps w:val="false"/>
                <w:sz w:val="20"/>
              </w:rPr>
              <w:t xml:space="preserve"> for the fiscal year ended December 31, 2025 from our Definitive Proxy Statement on </w:t>
            </w:r>
            <w:hyperlink r:id="rId15">
              <w:r>
                <w:rPr>
                  <w:rStyle w:val="InternetLink"/>
                  <w:rFonts w:ascii="Times New Roman;Times;Serif" w:hAnsi="Times New Roman;Times;Serif"/>
                  <w:b w:val="false"/>
                  <w:i w:val="false"/>
                  <w:caps w:val="false"/>
                  <w:smallCaps w:val="false"/>
                  <w:sz w:val="20"/>
                  <w:u w:val="single"/>
                </w:rPr>
                <w:t>Schedule 14A</w:t>
              </w:r>
            </w:hyperlink>
            <w:r>
              <w:rPr>
                <w:rFonts w:ascii="Times New Roman;Times;Serif" w:hAnsi="Times New Roman;Times;Serif"/>
                <w:b w:val="false"/>
                <w:i w:val="false"/>
                <w:caps w:val="false"/>
                <w:smallCaps w:val="false"/>
                <w:sz w:val="20"/>
              </w:rPr>
              <w:t>, filed with the SEC on April 29, 2026;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6">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Current Report on Form 8-K12G3 filed on November 4, 2025,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on Form 8-K furnished under Item 2.02 or Item 7.01 of Form 8-K and exhibits filed on such form that are related to such items) that are subsequently filed by us with the SEC pursuant to Sections 13(a), 13(c), 14 or 15(d) of the Exchange Act prior to the termination of the offering of the securities made by this prospectus (including documents filed after the date of the initial registration statement of which this prospectus is a part and prior to the effectiveness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a copy of any or all of the documents incorporated by reference into this prospectus (including any exhibits that are specifically incorporated by reference in those documents) but not delivered at no cost upon written or oral request. Any such request can be made by contacting us at the following address or telephone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West Hill Street, Suite 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265-0730</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Other Expenses of Issuance and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other than underwriting discounts and commissions, payable by us in connection with the offering of the securities being registered.</w:t>
      </w:r>
    </w:p>
    <w:p>
      <w:pPr>
        <w:pStyle w:val="TextBody"/>
        <w:bidi w:val="0"/>
        <w:spacing w:before="0" w:after="0"/>
        <w:ind w:left="0" w:right="0" w:hanging="0"/>
        <w:jc w:val="both"/>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3485"/>
        <w:gridCol w:w="60"/>
        <w:gridCol w:w="140"/>
        <w:gridCol w:w="740"/>
        <w:gridCol w:w="365"/>
      </w:tblGrid>
      <w:tr>
        <w:trPr/>
        <w:tc>
          <w:tcPr>
            <w:tcW w:w="3485"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xml:space="preserve">27,900 </w:t>
            </w:r>
          </w:p>
        </w:tc>
        <w:tc>
          <w:tcPr>
            <w:tcW w:w="365" w:type="dxa"/>
            <w:tcBorders/>
            <w:shd w:fill="CCEEFF" w:val="clear"/>
            <w:vAlign w:val="center"/>
          </w:tcPr>
          <w:p>
            <w:pPr>
              <w:pStyle w:val="TableContents"/>
              <w:bidi w:val="0"/>
              <w:spacing w:before="0" w:after="283"/>
              <w:jc w:val="left"/>
              <w:rPr/>
            </w:pPr>
            <w:r>
              <w:rPr/>
              <w:t xml:space="preserve">(1) </w:t>
            </w:r>
          </w:p>
        </w:tc>
      </w:tr>
      <w:tr>
        <w:trPr/>
        <w:tc>
          <w:tcPr>
            <w:tcW w:w="3485" w:type="dxa"/>
            <w:tcBorders/>
            <w:shd w:fill="FFFFFF" w:val="clear"/>
            <w:vAlign w:val="center"/>
          </w:tcPr>
          <w:p>
            <w:pPr>
              <w:pStyle w:val="TableContents"/>
              <w:bidi w:val="0"/>
              <w:spacing w:before="0" w:after="283"/>
              <w:jc w:val="both"/>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xml:space="preserve">(2 </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both"/>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(2 </w:t>
            </w:r>
          </w:p>
        </w:tc>
        <w:tc>
          <w:tcPr>
            <w:tcW w:w="36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both"/>
              <w:rPr/>
            </w:pPr>
            <w:r>
              <w:rPr/>
              <w:t>Transfer agent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xml:space="preserve">(2 </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both"/>
              <w:rPr/>
            </w:pPr>
            <w:r>
              <w:rPr/>
              <w:t>Trustee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(2 </w:t>
            </w:r>
          </w:p>
        </w:tc>
        <w:tc>
          <w:tcPr>
            <w:tcW w:w="365"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both"/>
              <w:rPr/>
            </w:pPr>
            <w:r>
              <w:rPr/>
              <w:t>Printing and 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xml:space="preserve">(2 </w:t>
            </w:r>
          </w:p>
        </w:tc>
        <w:tc>
          <w:tcPr>
            <w:tcW w:w="36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xml:space="preserve">(2 </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Excludes registration fee offset pursuant to Rule 457(p) of the Securities Act. </w:t>
            </w:r>
          </w:p>
        </w:tc>
      </w:tr>
      <w:tr>
        <w:trPr/>
        <w:tc>
          <w:tcPr>
            <w:tcW w:w="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securities and number of offerings are indeterminable, and accordingly, the expenses cannot be estimated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 Revised Statutes and the Company’s Articles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Revised Statutes (“NRS”) 78.138(7) provides that, subject to certain exceptions under Nevada law, unless the articles of incorporation or an amendment thereto provide for greater individual liability, a director or officer is not individually liable to a corporation or its stockholders or creditors for any damage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that he or she reasonably believed to be in, or not opposed to, the best interests of the corporation and, with respect to any criminal action or proceeding, had no reasonable cause to believe the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that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any other court of competent jurisdiction determines upon application that, in view of all of the circumstances of the case,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bylaws provide for indemnification of its directors and officers in their respective capacities as such and in any and all other capacities in which any of them serves at the Company’s request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D&amp;O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78.752(1) provides that a corporation may purchase and maintain insurance or make other financial arrangements on behalf of any person who is or was a director, officer, employee or agent of the corporation, or is or was serving at the request of the corporation as a director, officer, employee or agent of another corporation, partnership, joint venture, trust or other enterprise for any liability asserted against the person and liability and expenses incurred by the person in his or her capacity as a director, officer, employee or agent, or arising out of his or her status as such, whether or not the corporation has the authority to indemnify such person against liability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directors and officers liability insurance (“D&amp;O Insurance”) for the benefit of the Company’s directors and officers and intends to maintain D&amp;O Insurance. D&amp;O Insurance is insurance coverage intended to protect individuals serving as directors or officers of a business or other type of organization from personal losses if such individuals are sued as a result of serving as directors or officers of a business or other type of organization. D&amp;O Insurance may also cover the legal fees and other costs the business or other type of organization may incur as a result of such suits against its directors or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05"/>
        <w:gridCol w:w="60"/>
        <w:gridCol w:w="9040"/>
      </w:tblGrid>
      <w:tr>
        <w:trPr/>
        <w:tc>
          <w:tcPr>
            <w:tcW w:w="11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Articles of Domestication (filed as Exhibit 3.1 to the Company’s Current Report on Form 8-K12G3 filed on November 4, 2025 (File No. 000-56342) and incorporated by reference herein).</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Articles of Incorporation (filed as Exhibit 3.2 to the Company’s Current Report on Form 8-K12G3 filed on November 4, 2025 (File No. 000-56342) and incorporated by reference herein).</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Bylaws (filed as Exhibit 3.3 to the Company’s Current Report on Form 8-K12G3 filed on November 4, 2025 (File No. 000-56342) and incorporated by reference herein).</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Change (filed as Exhibit 3.1 to the Company’s Current Report on Form 8-K filed on June 8, 2026 (File No. 000-56342) and incorporated by reference herein).</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Common Stock Warrant Agreement and Warrant Certificate.</w:t>
            </w:r>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Agreement.</w:t>
            </w:r>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w:t>
            </w:r>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Sheppard, Mullin, Richter &amp; Hampton LLP</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 (Macias Gini &amp; O’Connell LLP).</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Sheppard, Mullin, Richter &amp; Hampton LLP (included in Exhibit 5.1).</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Power of Attorney (included on signature page).</w:t>
              </w:r>
            </w:hyperlink>
          </w:p>
        </w:tc>
      </w:tr>
      <w:tr>
        <w:trPr/>
        <w:tc>
          <w:tcPr>
            <w:tcW w:w="1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40"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by amendment or by a report filed under the Exchange Act and incorporated herein by reference, if applicable.</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r>
        <w:trPr/>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99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are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Chicago, State of Illinois, on the 8th day of July, 2026.</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560"/>
        <w:gridCol w:w="3620"/>
        <w:gridCol w:w="75"/>
      </w:tblGrid>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VERANO HOLDINGS CORP.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George Archos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Archos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Chief Executive Officer and 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a_011"/>
      <w:bookmarkEnd w:id="17"/>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directors and officers of Verano Holdings Corp. hereby appoint George Archos and Laura Kalesnik, and each of them, as his or her true and lawful attorney-in-fact and agent, each acting alone, with full power of substitution and resubstitution, for him or her and in his or her name, place and stead, in any and all capacities, to sign any or all amendments (including post-effective amendments, exhibits thereto and other documents in connection therewith) to this Registration Statement and any subsequent registration statement filed by the registrant pursuant to Rule 462(b) of the Securities Act of 1933, as amended, which relates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6870" w:type="dxa"/>
        <w:jc w:val="left"/>
        <w:tblInd w:w="0" w:type="dxa"/>
        <w:tblLayout w:type="fixed"/>
        <w:tblCellMar>
          <w:top w:w="0" w:type="dxa"/>
          <w:left w:w="0" w:type="dxa"/>
          <w:bottom w:w="28" w:type="dxa"/>
          <w:right w:w="0" w:type="dxa"/>
        </w:tblCellMar>
      </w:tblPr>
      <w:tblGrid>
        <w:gridCol w:w="2090"/>
        <w:gridCol w:w="60"/>
        <w:gridCol w:w="3620"/>
        <w:gridCol w:w="60"/>
        <w:gridCol w:w="1040"/>
      </w:tblGrid>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George Archos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Chief Executive Officer and President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Archos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C. Tarapchak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C. Tarapchak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 Heine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Corporate Controller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Heine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Lawrence Hirsh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Hirsh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Cristina Nuñez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Cristina Nuñez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Mueller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Mueller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Tipton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Tipton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18" w:name="ex5-1.htm"/>
      <w:bookmarkStart w:id="19" w:name="ksex51"/>
      <w:bookmarkEnd w:id="18"/>
      <w:bookmarkEnd w:id="1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jc w:val="center"/>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2640"/>
        <w:gridCol w:w="3530"/>
      </w:tblGrid>
      <w:tr>
        <w:trPr/>
        <w:tc>
          <w:tcPr>
            <w:tcW w:w="264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6668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1666875" cy="666750"/>
                          </a:xfrm>
                          <a:prstGeom prst="rect">
                            <a:avLst/>
                          </a:prstGeom>
                        </pic:spPr>
                      </pic:pic>
                    </a:graphicData>
                  </a:graphic>
                </wp:inline>
              </w:drawing>
            </w:r>
          </w:p>
        </w:tc>
        <w:tc>
          <w:tcPr>
            <w:tcW w:w="353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North Clark Street, 32nd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60654</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312.499.6300 main</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312.499.6301 fax</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www.sheppard.com</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ELECTRONIC MAIL</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 Holdings 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West Hill Street, Suite 400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32256</w:t>
      </w:r>
    </w:p>
    <w:p>
      <w:pPr>
        <w:pStyle w:val="TextBody"/>
        <w:bidi w:val="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365"/>
        <w:gridCol w:w="3065"/>
      </w:tblGrid>
      <w:tr>
        <w:trPr/>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3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Verano Holdings Corp.,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of a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by the Company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Registration Statement relates to the proposed offer, issuance and sale from time to time on a delayed or continuous basis pursuant to Rule 415 under the Securities Act, as set forth in the Registration Statement, the prospectus contained therein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and one or more supplements to the Base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and any free-writing prospectus(es), of up to $1,000,000,000 of the following securities of the Company: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par value $0.001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Common Stock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which may be issued under one or more warrant agreements, to be dated on or about the date of the first issuance of the applicable Warrants thereunder, by and between a warrant agent to be selected by the Company (the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and the Company (each, a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to purchase Common Stock or other securities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which may be issued under one or more rights agreements (each, a “</w:t>
            </w:r>
            <w:r>
              <w:rPr>
                <w:rFonts w:ascii="Times New Roman;Times;Serif" w:hAnsi="Times New Roman;Times;Serif"/>
                <w:b w:val="false"/>
                <w:i w:val="false"/>
                <w:caps w:val="false"/>
                <w:smallCaps w:val="false"/>
                <w:sz w:val="20"/>
                <w:u w:val="single"/>
              </w:rPr>
              <w:t>Rights Agreements</w:t>
            </w:r>
            <w:r>
              <w:rPr>
                <w:rFonts w:ascii="Times New Roman;Times;Serif" w:hAnsi="Times New Roman;Times;Serif"/>
                <w:b w:val="false"/>
                <w:i w:val="false"/>
                <w:caps w:val="false"/>
                <w:smallCaps w:val="false"/>
                <w:sz w:val="20"/>
              </w:rPr>
              <w:t>”) to be entered into between the Company and the rights agent to be named therein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Common Stock and/or Warrants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to be issued under one or more unit agreements to be entered into among the Company, a bank or trust company, as unit agent (the “</w:t>
            </w:r>
            <w:r>
              <w:rPr>
                <w:rFonts w:ascii="Times New Roman;Times;Serif" w:hAnsi="Times New Roman;Times;Serif"/>
                <w:b w:val="false"/>
                <w:i w:val="false"/>
                <w:caps w:val="false"/>
                <w:smallCaps w:val="false"/>
                <w:sz w:val="20"/>
                <w:u w:val="single"/>
              </w:rPr>
              <w:t>Unit Agent</w:t>
            </w:r>
            <w:r>
              <w:rPr>
                <w:rFonts w:ascii="Times New Roman;Times;Serif" w:hAnsi="Times New Roman;Times;Serif"/>
                <w:b w:val="false"/>
                <w:i w:val="false"/>
                <w:caps w:val="false"/>
                <w:smallCaps w:val="false"/>
                <w:sz w:val="20"/>
              </w:rPr>
              <w:t>”), and the holders from time to time of the Units (each such unit agreement, a “</w:t>
            </w:r>
            <w:r>
              <w:rPr>
                <w:rFonts w:ascii="Times New Roman;Times;Serif" w:hAnsi="Times New Roman;Times;Serif"/>
                <w:b w:val="false"/>
                <w:i w:val="false"/>
                <w:caps w:val="false"/>
                <w:smallCaps w:val="false"/>
                <w:sz w:val="20"/>
                <w:u w:val="single"/>
              </w:rPr>
              <w:t>Unit Agreement</w:t>
            </w:r>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the Warrants, the Rights, the Units, any securities as may be issuable upon the exchange, exercise or conversion of any securities registered under the Registration Statement, plus any additional Common Stock, Warrants, Rights and Units that may be registered pursuant to any registration statement that the Company may hereafter file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pursuant to Rule 462(b) under the Securities Act in connection with an offering by the Company pursuant to the Registration Statement,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This opinion letter is being furnished pursuant to the requirements of Item 601(b)(5) of Regulation S-K under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opinions expressed below, including but not limited to (i) the Registration Statement, including the prospectus, dated as of the date hereof, which forms a part of the Registration Statement; (ii) the Articles of Incorporation of the Company as amended and in effect on the date hereof; (iii) the Bylaws of the Company as amended and in effect on the date hereof; (iv) the Certificate of Good Standing for the Company as certified by the Secretary of State of Nevada on July 8, 2026; (v) the resolutions of the Board of Directors of the Company, adopted on June 20, 2026, authorizing the preparation and filing of the Registration Statement. As to certain factual matters, we have relied upon a certificate of officers of the Company and have not independently verified such matters.</w:t>
      </w:r>
    </w:p>
    <w:p>
      <w:pPr>
        <w:pStyle w:val="TextBody"/>
        <w:bidi w:val="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(i) the genuineness and authenticity of all signatures on original documents; (ii) the authenticity of all documents submitted to us as originals; (iii) the conformity to originals of all documents submitted to us as copies; (iv) the accuracy, completeness and authenticity of certificates of public officials; (v) the due authorization, execution and delivery of all documents by parties thereto (other than the Company) where authorization, execution and delivery are prerequisites to the effectiveness of such documents; (vi) that the Registration Statement and any required post-effective amendment thereto have all become effective under the Securities Act and the Base Prospectus and any and all Prospectus Supplement(s) required by applicable laws and any and all free-writing prospectus(es) related to the offer and sale of the Securities have been delivered and filed as required by such laws; (vii) that the issuance and sale of the Securities by the Company do not result in a default under or breach of any agreement or instrument binding upon the Company and comply with any applicable requirement or restriction imposed by any court or governmental body having jurisdiction over the Company or its properties or assets; (viii) a Prospectus Supplement will have been prepared and filed with the Commission describing the Securities offered thereby; and (ix) a definitive purchase, underwriting or similar agreement with respect to any Securities offered will have been duly authorized and validly executed and delivered by the Company and the other parties thereto.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 as to the Common Stock, we have assumed that, at the time of issuance and sale, a sufficient number of shares of Common Stock are authorized and available for issuance and that the consideration for the issuance and sale of the Common Stock (or for any Securities convertible into or exercisable for Common Stock) will be in an amount that is not less than the par value of the Common Stock. We have also assumed that any Warrants, Rights or Units offered under the Registration Statement, and the related Warrant Agreement, Rights Agreement or Unit Agreement, as applicable, are executed in the forms filed as exhibits to the Registration Statement or incorporated by reference therein. We have further assumed that with respect to any Securities issuable upon exercise of any Warrants, the Warrants constitute valid and legally binding obligations of the Company, enforceable against the Company in accordance with their terms, except as enforcement may be limited by or subject to (x) bankruptcy, insolvency, fraudulent transfer or conveyance, reorganization, moratorium or other similar laws relating to or affecting creditors’ rights generally, (y) general equity or public policy principles (regardless of whether considered in a proceeding at law or in equity), and (z) limitations on availability of equitable relief, including specific performance. With respect to the Warrants offered under the Registration Statement, we have also assumed that (A) such Warrants will be issued pursuant to a Warrant Agreement, (B) the Warrant Agreement will be filed either as an exhibit to an amendment to the Registration Statement to be filed after the date of this letter or as an exhibit to a Current Report on Form 8-K to be filed after the Registration Statement has become effective, and (C) the particular terms of any series of Warrants will be set forth in a Prospectus Supplement. With respect to the Rights offered under the Registration Statement, we have also assumed that (A) such Rights will be issued pursuant to a Rights Agreement, (B) the Rights Agreement will be filed either as an exhibit to an amendment to the Registration Statement to be filed after the date of this letter or as an exhibit to a Current Report on Form 8-K to be filed after the Registration Statement has become effective, and (C) the particular terms of any Rights will be set forth in a Prospectus Supplement. With respect to the Units offered under the Registration Statement, we have also assumed that (A) such Units will be issued pursuant to a Unit Agreement, (B) the Unit Agreement will be filed either as an exhibit to an amendment to the Registration Statement to be filed after the date of this letter or as an exhibit to a Current Report on Form 8-K to be filed after the Registration Statement has become effective, and (C) the particular terms of any Units will be set forth in a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expressed solely with respect to the laws of the State of Nevada and, as to the Warrants, Rights and Units constituting valid and legally binding obligations of the Company, the laws of the State of New York. Our opinion is based on these laws as in effect on the date hereof. We express no opinion as to whether the laws of any other jurisdiction are applicable to the subject matter hereof. We are not rendering any opinion and provide no assurance as to compliance with any federal or state securities law, rule or regulation.</w:t>
      </w:r>
    </w:p>
    <w:p>
      <w:pPr>
        <w:pStyle w:val="TextBody"/>
        <w:bidi w:val="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and subject to the qualifications herein stated, we are of the opinion that: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Common Stock offered under the Registration Statement (including any shares of Common Stock duly issued upon the exchange, exercise or conversion of Securities that are exchangeable or exercisable for, or convertible into, Common Stock), provided that (i) the issuance and sale of the Common Stock do not violate any applicable law other than the laws of the State of Nevada, are in conformity with the Articles of Incorporation (the “</w:t>
      </w:r>
      <w:r>
        <w:rPr>
          <w:rFonts w:ascii="Times New Roman;Times;Serif" w:hAnsi="Times New Roman;Times;Serif"/>
          <w:b w:val="false"/>
          <w:i w:val="false"/>
          <w:caps w:val="false"/>
          <w:smallCaps w:val="false"/>
          <w:sz w:val="20"/>
          <w:u w:val="single"/>
        </w:rPr>
        <w:t>Articles of Incorporation</w:t>
      </w:r>
      <w:r>
        <w:rPr>
          <w:rFonts w:ascii="Times New Roman;Times;Serif" w:hAnsi="Times New Roman;Times;Serif"/>
          <w:b w:val="false"/>
          <w:i w:val="false"/>
          <w:caps w:val="false"/>
          <w:smallCaps w:val="false"/>
          <w:sz w:val="20"/>
        </w:rPr>
        <w:t>”) and the Company’s then operative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comply with any applicable requirement or restriction imposed by any court or governmental body having jurisdiction over the Company; (ii) any legally required consents, approvals, authorizations and other orders of the Commission and other regulatory authorities have been obtained; and (iii) the certificates, if any, for the Common Stock have been duly executed by the Company, countersigned by the transfer agent therefor and duly delivered to the purchasers thereof against the requisite payment therefor, which the Company has received, then the Common Stock, when issued and sold as contemplated in the Registration Statement, the Base Prospectus and the related Prospectus Supplement(s) and in accordance with a duly authorized, executed and delivered purchase, underwriting or similar agreement, or upon exercise of any Warrants in accordance with their terms, will be validly issued,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Warrants issued under a Warrant Agreement and offered under the Registration Statement, provided that (i) any legally required consents, approvals, authorizations and other orders of the Commission and other regulatory authorities have been obtained; (ii) the Warrant Agreement has been duly executed and delivered by the Company and the Warrant Agent as described in the Registration Statement, the Base Prospectus and the related Prospectus Supplement(s); (iii) the terms of the Warrants and of their issuance and sale have been duly established in conformity with the Warrant Agreement and as described in the Registration Statement, the Base Prospectus and the related Prospectus Supplement(s), so as not to violate any applicable law other than the laws of the state of Nevada, so as to be in conformity with the Articles of Incorporation and the Bylaws, and so as to comply with any requirement or restriction imposed by any court or governmental body having jurisdiction over the Company and (iv) the Warrants have been duly executed and delivered by the Company and authenticated by the Warrant Agent pursuant to the Warrant Agreement and delivered against the requisite payment therefor, which the Company has received,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enforceable against the Company in accordance with their terms.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the Rights issued under a Rights Agreement and offered under the Registration Statement, provided that (i) any legally required consents, approvals, authorizations and other orders of the Commission and any other regulatory authorities have been obtained; (ii) the Rights Agreement has been duly executed and delivered by the Company and the Rights Agent as described in the Registration Statement, the Base Prospectus and the related Prospectus Supplement(s); (iii) the terms of the Rights and of their issuance and sale have been duly established in conformity with the Rights Agreement and as described in the Registration Statement, the Base Prospectus and the related Prospectus Supplement(s), so as not to violate any applicable law other than the laws of the State of Nevada, so as to be in conformity with the Articles of Incorporation and the Bylaws, and so as to comply with any requirement or restriction imposed by any court or governmental body having jurisdiction over the Company; and (iv) the Rights have been duly executed and delivered by the Company and authenticated by the Rights Agent pursuant to the Rights Agreement and delivered against the requisite payment therefor, which the Company has received, and assuming that the Rights are then issued and sold as contemplated in the Registration Statement, the Base Prospectus, the Prospectus Supplement(s) and any related free-writing prospectus(es), then the Rights, when issued and sold in accordance with the Rights Agreement and a duly authorized, executed and delivered purchase, underwriting or similar agreement, will constitute valid and legally binding obligations of the Company, enforceable against the Company in accordance with their terms.</w:t>
      </w:r>
    </w:p>
    <w:p>
      <w:pPr>
        <w:pStyle w:val="TextBody"/>
        <w:bidi w:val="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Units issued under a Unit Agreement and offered under the Registration Statement, provided that (i) any legally required consents, approvals, authorizations and other orders of the Commission and any other regulatory authorities have been obtained; (ii) the Unit Agreement has been duly executed and delivered by the Company and the Unit Agent as described in the Registration Statement, the Base Prospectus and the related Prospectus Supplement(s); (iii) the terms of the Units and of their issuance and sale have been duly established in conformity with the Unit Agreement and as described in the Registration Statement, the Base Prospectus and the related Prospectus Supplement(s), so as not to violate any applicable law other than the laws of the State of Nevada, so as to be in conformity with the Articles of Incorporation and the Bylaws, and so as to comply with any requirement or restriction imposed by any court or governmental body having jurisdiction over the Company; and (iv) the Units have been duly executed and delivered by the Company and authenticated by the Unit Agent pursuant to the Unit Agreement and delivered against the requisite payment therefor, which the Company has received, and assuming that the Units are then issued and sold as contemplated in the Registration Statement, the Base Prospectus, the Prospectus Supplement(s) and any related free-writing prospectus(es), then the Units, when issued and sold in accordance with the Unit Agreement and a duly authorized, executed and delivered purchase, underwriting or similar agreement, will constitute valid and legally binding obligations of the Company, enforceable against the Company in accordance with their terms.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qualified to the extent that the enforceability of any document, instrument or the Securities may be limited by or subject to bankruptcy, insolvency, fraudulent transfer or conveyance, reorganization, moratorium or other similar laws relating to or affecting creditors’ rights generally, and general equitable or public policy principles (regardless of whether considered in a proceeding at law or in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our firm under the caption “Legal Matters” in the Base Prospectus. In giving this consent, we do not thereby admit that we are within the category of persons whose consent is required under Section 7 of the Securities Act or the General Rules and Regulations under the Securities Act. We further consent to the incorporation by reference of this opinion into any registration statement filed pursuant to Rule 462(b) under the Securities Act with respect to additional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subsequent changes in the facts or circumstances stated or assumed herein that may hereafter come to our attention or of any subsequent changes in law that may hereafter occur.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80"/>
        <w:gridCol w:w="4580"/>
        <w:gridCol w:w="75"/>
      </w:tblGrid>
      <w:tr>
        <w:trPr/>
        <w:tc>
          <w:tcPr>
            <w:tcW w:w="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SHEPPARD, MULLIN, RICHTER &amp; HAMPTON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caps w:val="false"/>
                <w:smallCaps w:val="false"/>
              </w:rPr>
            </w:pPr>
            <w:r>
              <w:rPr>
                <w:caps w:val="false"/>
                <w:smallCaps w:val="false"/>
              </w:rPr>
              <w:t> </w:t>
            </w:r>
          </w:p>
        </w:tc>
        <w:tc>
          <w:tcPr>
            <w:tcW w:w="45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both"/>
              <w:rPr>
                <w:caps w:val="false"/>
                <w:smallCaps w:val="false"/>
              </w:rPr>
            </w:pPr>
            <w:r>
              <w:rPr>
                <w:caps w:val="false"/>
                <w:smallCaps w:val="false"/>
              </w:rPr>
              <w:t> </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jc w:val="both"/>
        <w:rPr>
          <w:caps w:val="false"/>
          <w:smallCaps w:val="false"/>
        </w:rPr>
      </w:pPr>
      <w:r>
        <w:rPr>
          <w:caps w:val="false"/>
          <w:smallCaps w:val="false"/>
        </w:rPr>
        <w:t> </w:t>
      </w:r>
    </w:p>
    <w:p>
      <w:pPr>
        <w:pStyle w:val="TextBody"/>
        <w:bidi w:val="0"/>
        <w:jc w:val="center"/>
        <w:rPr>
          <w:caps w:val="false"/>
          <w:smallCaps w:val="false"/>
        </w:rPr>
      </w:pPr>
      <w:bookmarkStart w:id="20" w:name="ex23-1.htm"/>
      <w:bookmarkStart w:id="21" w:name="ksex231"/>
      <w:bookmarkEnd w:id="20"/>
      <w:bookmarkEnd w:id="2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Verano Holdings Corp.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Verano Holdings Corp. on Form S-3 of our report dated March 12, 2026 relating to the consolidated financial statements of Verano Holdings Corp. and the effectiveness of Verano Holdings Corp.’s internal control over financial reporting appearing in the entity’s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xml:space="preserve">We further consent to the reference to our firm under the caption “Experts” in such Registration Statement.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Macias Gini &amp; O’Connell LLP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Macias Gini &amp; O’Connell LLP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 w:name="ex107.htm"/>
      <w:bookmarkStart w:id="23" w:name="ksex107"/>
      <w:bookmarkStart w:id="24" w:name="ex107.htm"/>
      <w:bookmarkStart w:id="25" w:name="ksex107"/>
      <w:bookmarkEnd w:id="24"/>
      <w:bookmarkEnd w:id="25"/>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Verano Holdings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12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$ 1,000,000,000.00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$ 138,100.00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6" w:name="MaxAggtOfferingPrice"/>
            <w:bookmarkEnd w:id="26"/>
            <w:r>
              <w:rPr/>
              <w:t xml:space="preserve">$ 1,000,000,000.00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$ 138,100.00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9" w:name="TotalOffsetAmt"/>
            <w:bookmarkEnd w:id="29"/>
            <w:r>
              <w:rPr/>
              <w:t xml:space="preserve">$ 110,200.00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0" w:name="NetFeeAmt"/>
            <w:bookmarkEnd w:id="30"/>
            <w:r>
              <w:rPr/>
              <w:t xml:space="preserve">$ 27,900.00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amount to be registered consists of up to $1,000,000,000 of an indeterminate amount of the securities of each identified class of securities, including such indeterminate amount of each identified class of securities as may be issued upon conversion of, or in exchange for, or upon exercise of, or pursuant to, convertible or exchangeable securities that provide for exercise or conversion into or purchase of such securities of Verano Holdings Corp. Separate consideration may or may not be received for securities that are issuable upon conversion of, or in exchange for, or upon exercise of, convertible or exchangeable securities. Pursuant to Rule 416 under the Securities Act of 1933, as amended (the "Securities Act"), the securities being registered hereunder include such indeterminate number of shares of common stock as may be issuable with respect to the securities being registered hereunder as a result of stock splits, stock dividends or similar transactions. 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78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366"/>
        <w:gridCol w:w="1246"/>
        <w:gridCol w:w="1186"/>
        <w:gridCol w:w="1186"/>
        <w:gridCol w:w="1966"/>
        <w:gridCol w:w="136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36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96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36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78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78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Verano Holdings Corp.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333-273161 </w:t>
            </w:r>
          </w:p>
        </w:tc>
        <w:tc>
          <w:tcPr>
            <w:tcW w:w="706" w:type="dxa"/>
            <w:tcBorders/>
            <w:shd w:fill="E7E7E2" w:val="clear"/>
            <w:vAlign w:val="center"/>
          </w:tcPr>
          <w:p>
            <w:pPr>
              <w:pStyle w:val="TableContents"/>
              <w:bidi w:val="0"/>
              <w:spacing w:before="0" w:after="283"/>
              <w:jc w:val="left"/>
              <w:rPr/>
            </w:pPr>
            <w:r>
              <w:rPr/>
              <w:t xml:space="preserve">07/07/2023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$ 110,200.00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$ 1,000,000,000.00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71" w:type="dxa"/>
            <w:tcBorders/>
            <w:shd w:fill="E7E7E2" w:val="clear"/>
            <w:vAlign w:val="center"/>
          </w:tcPr>
          <w:p>
            <w:pPr>
              <w:pStyle w:val="TableContents"/>
              <w:bidi w:val="0"/>
              <w:spacing w:before="0" w:after="283"/>
              <w:jc w:val="left"/>
              <w:rPr/>
            </w:pPr>
            <w:r>
              <w:rPr/>
              <w:t xml:space="preserve">Verano Holdings Corp.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333-273161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07/07/2023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$ 110,200.00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registrant previously registered an indeterminate amount of securities having an aggregate offering price up to $1,000,000,000, pursuant to a Registration Statement on Form S-3 (Registration No. 333-273161) filed with the Securities and Exchange Commission on July 7, 2023 (the "Prior Registration Statement") and declared effective on July 19, 2023. As of the date of this registration statement, the registrant did not sell any securities under the Prior Registration Statement, representing $110,200 in registration fees of such unsold securities under the Prior Registration Statement. Pursuant to Rule 457(p) under the Securities Act, the registration fee of $110,200 that has already been paid and remains unused with respect to securities that were previously registered pursuant to the Prior Registration Statement and were not sold thereunder will continue to be applied to these securities included in this registration statement, and the offering of securities under the Prior Registration Statement will be deemed terminated as of the date of effectiveness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576" w:type="dxa"/>
        <w:jc w:val="left"/>
        <w:tblInd w:w="0" w:type="dxa"/>
        <w:tblLayout w:type="fixed"/>
        <w:tblCellMar>
          <w:top w:w="28" w:type="dxa"/>
          <w:left w:w="28" w:type="dxa"/>
          <w:bottom w:w="28" w:type="dxa"/>
          <w:right w:w="28" w:type="dxa"/>
        </w:tblCellMar>
      </w:tblPr>
      <w:tblGrid>
        <w:gridCol w:w="256"/>
        <w:gridCol w:w="171"/>
        <w:gridCol w:w="1149"/>
      </w:tblGrid>
      <w:tr>
        <w:trPr/>
        <w:tc>
          <w:tcPr>
            <w:tcW w:w="25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320" w:type="dxa"/>
            <w:gridSpan w:val="2"/>
            <w:tcBorders/>
            <w:vAlign w:val="center"/>
          </w:tcPr>
          <w:p>
            <w:pPr>
              <w:pStyle w:val="TableContents"/>
              <w:bidi w:val="0"/>
              <w:spacing w:before="0" w:after="283"/>
              <w:jc w:val="left"/>
              <w:rPr/>
            </w:pPr>
            <w:r>
              <w:rPr/>
              <w:t xml:space="preserve">See Note 1. </w:t>
            </w:r>
          </w:p>
        </w:tc>
      </w:tr>
      <w:tr>
        <w:trPr/>
        <w:tc>
          <w:tcPr>
            <w:tcW w:w="427" w:type="dxa"/>
            <w:gridSpan w:val="2"/>
            <w:tcBorders/>
            <w:vAlign w:val="center"/>
          </w:tcPr>
          <w:p>
            <w:pPr>
              <w:pStyle w:val="HorizontalLine"/>
              <w:pBdr>
                <w:bottom w:val="double" w:sz="2" w:space="0" w:color="808080"/>
              </w:pBdr>
              <w:bidi w:val="0"/>
              <w:spacing w:before="0" w:after="283"/>
              <w:jc w:val="left"/>
              <w:rPr/>
            </w:pPr>
            <w:r>
              <w:rPr/>
            </w:r>
          </w:p>
        </w:tc>
        <w:tc>
          <w:tcPr>
            <w:tcW w:w="1149"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8416/000162828026017011/vrnof-20251231.htm" TargetMode="External"/><Relationship Id="rId3" Type="http://schemas.openxmlformats.org/officeDocument/2006/relationships/hyperlink" Target="https://www.sec.gov/Archives/edgar/data/1848416/000162828026028574/vrno-20260331.htm" TargetMode="External"/><Relationship Id="rId4" Type="http://schemas.openxmlformats.org/officeDocument/2006/relationships/hyperlink" Target="https://www.sec.gov/Archives/edgar/data/1848416/000162828026002111/vrnof-20260112.htm" TargetMode="External"/><Relationship Id="rId5" Type="http://schemas.openxmlformats.org/officeDocument/2006/relationships/hyperlink" Target="https://www.sec.gov/Archives/edgar/data/1848416/000162828026017007/vrnof-20260312.htm" TargetMode="External"/><Relationship Id="rId6" Type="http://schemas.openxmlformats.org/officeDocument/2006/relationships/hyperlink" Target="https://www.sec.gov/Archives/edgar/data/1848416/000149315226011221/form8-k.htm" TargetMode="External"/><Relationship Id="rId7" Type="http://schemas.openxmlformats.org/officeDocument/2006/relationships/hyperlink" Target="https://www.sec.gov/Archives/edgar/data/1848416/000162828026028573/vrnof-20260430.htm" TargetMode="External"/><Relationship Id="rId8" Type="http://schemas.openxmlformats.org/officeDocument/2006/relationships/hyperlink" Target="https://www.sec.gov/Archives/edgar/data/1848416/000149315226026522/form8-k.htm" TargetMode="External"/><Relationship Id="rId9" Type="http://schemas.openxmlformats.org/officeDocument/2006/relationships/hyperlink" Target="https://www.sec.gov/Archives/edgar/data/1848416/000149315226026906/form8-k.htm" TargetMode="External"/><Relationship Id="rId10" Type="http://schemas.openxmlformats.org/officeDocument/2006/relationships/hyperlink" Target="https://www.sec.gov/Archives/edgar/data/1848416/000149315226027720/form8-k.htm" TargetMode="External"/><Relationship Id="rId11" Type="http://schemas.openxmlformats.org/officeDocument/2006/relationships/hyperlink" Target="https://www.sec.gov/Archives/edgar/data/1848416/000149315226028207/form8-k.htm" TargetMode="External"/><Relationship Id="rId12" Type="http://schemas.openxmlformats.org/officeDocument/2006/relationships/hyperlink" Target="https://www.sec.gov/Archives/edgar/data/1848416/000149315226029332/form8-k.htm" TargetMode="External"/><Relationship Id="rId13" Type="http://schemas.openxmlformats.org/officeDocument/2006/relationships/hyperlink" Target="https://www.sec.gov/Archives/edgar/data/1848416/000149315226029797/form8-k.htm" TargetMode="External"/><Relationship Id="rId14" Type="http://schemas.openxmlformats.org/officeDocument/2006/relationships/hyperlink" Target="https://www.sec.gov/Archives/edgar/data/1848416/000162828026017011/vrnof-20251231.htm" TargetMode="External"/><Relationship Id="rId15" Type="http://schemas.openxmlformats.org/officeDocument/2006/relationships/hyperlink" Target="https://www.sec.gov/Archives/edgar/data/1848416/000149315226019596/formdef14a.htm" TargetMode="External"/><Relationship Id="rId16" Type="http://schemas.openxmlformats.org/officeDocument/2006/relationships/hyperlink" Target="https://www.sec.gov/Archives/edgar/data/1848416/000149315225020684/ex4-1.htm" TargetMode="External"/><Relationship Id="rId17" Type="http://schemas.openxmlformats.org/officeDocument/2006/relationships/hyperlink" Target="https://www.sec.gov/Archives/edgar/data/1848416/000149315225020684/ex3-1.htm" TargetMode="External"/><Relationship Id="rId18" Type="http://schemas.openxmlformats.org/officeDocument/2006/relationships/hyperlink" Target="https://www.sec.gov/Archives/edgar/data/1848416/000149315225020684/ex3-2.htm" TargetMode="External"/><Relationship Id="rId19" Type="http://schemas.openxmlformats.org/officeDocument/2006/relationships/hyperlink" Target="https://www.sec.gov/Archives/edgar/data/1848416/000149315225020684/ex3-3.htm" TargetMode="External"/><Relationship Id="rId20" Type="http://schemas.openxmlformats.org/officeDocument/2006/relationships/hyperlink" Target="https://www.sec.gov/Archives/edgar/data/1848416/000149315226027720/ex3-1.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20018</Words>
  <Characters>106817</Characters>
  <CharactersWithSpaces>126977</CharactersWithSpaces>
  <Paragraphs>1781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