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Leventis James Angelo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224 WEST HILL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Verano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60610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7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200,000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372,277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58,600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313,677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grant and vesting of restricted stock units which settled into Common Stock, par value $0.001. The restricted stock units were granted on June 9, 2026 following Board approval and were fully vested at the time of the grant.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par value $0.001 that have been withheld by the issuer to satisfy its income tax withholding and remittance obligations in connection with the net settlement of the restricted stock units and does not represent a sale. Such restricted stock units settled into shares of Common Stock on June 9,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Strategy and Compliance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Laura Marie Kalesnik,</w:t>
            </w:r>
          </w:p>
        </w:tc>
        <w:tc>
          <w:tcPr>
            <w:tcW w:w="3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5714" TargetMode="External"/><Relationship Id="rId14" Type="http://schemas.openxmlformats.org/officeDocument/2006/relationships/hyperlink" Target="http://www.sec.gov/cgi-bin/browse-edgar?action=getcompany&amp;CIK=0001848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2026-06-10T16:15:07Z</dcterms:created>
  <dcterms:modified xsi:type="dcterms:W3CDTF">2026-06-10T16:15:07Z</dcterms:modified>
</cp:coreProperties>
</file>