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582930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608965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4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 w:lineRule="exact"/>
        <w:rPr>
          <w:sz w:val="24"/>
          <w:szCs w:val="24"/>
          <w:color w:val="auto"/>
        </w:rPr>
      </w:pPr>
    </w:p>
    <w:p>
      <w:pPr>
        <w:ind w:left="20"/>
        <w:spacing w:after="0"/>
        <w:rPr>
          <w:sz w:val="20"/>
          <w:szCs w:val="20"/>
          <w:color w:val="auto"/>
        </w:rPr>
      </w:pPr>
      <w:r>
        <w:rPr>
          <w:rFonts w:ascii="Wingdings" w:cs="Wingdings" w:eastAsia="Wingdings" w:hAnsi="Wingdings"/>
          <w:sz w:val="18"/>
          <w:szCs w:val="18"/>
          <w:b w:val="1"/>
          <w:bCs w:val="1"/>
          <w:color w:val="auto"/>
        </w:rPr>
        <w:t>x</w:t>
      </w:r>
    </w:p>
    <w:p>
      <w:pPr>
        <w:spacing w:after="0" w:line="10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3" w:lineRule="exact"/>
        <w:rPr>
          <w:sz w:val="24"/>
          <w:szCs w:val="24"/>
          <w:color w:val="auto"/>
        </w:rPr>
      </w:pPr>
    </w:p>
    <w:p>
      <w:pPr>
        <w:ind w:left="4700" w:right="1560" w:hanging="4674"/>
        <w:spacing w:after="0" w:line="422" w:lineRule="auto"/>
        <w:tabs>
          <w:tab w:leader="none" w:pos="507"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000-56342</w:t>
      </w:r>
    </w:p>
    <w:p>
      <w:pPr>
        <w:spacing w:after="0" w:line="1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9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153"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5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98-1583243</w:t>
            </w:r>
          </w:p>
        </w:tc>
      </w:tr>
      <w:tr>
        <w:trPr>
          <w:trHeight w:val="257"/>
        </w:trPr>
        <w:tc>
          <w:tcPr>
            <w:tcW w:w="674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4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452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tcPr>
          <w:p>
            <w:pPr>
              <w:spacing w:after="0"/>
              <w:rPr>
                <w:sz w:val="23"/>
                <w:szCs w:val="23"/>
                <w:color w:val="auto"/>
              </w:rPr>
            </w:pPr>
          </w:p>
        </w:tc>
      </w:tr>
      <w:tr>
        <w:trPr>
          <w:trHeight w:val="238"/>
        </w:trPr>
        <w:tc>
          <w:tcPr>
            <w:tcW w:w="45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60610</w:t>
            </w:r>
          </w:p>
        </w:tc>
      </w:tr>
      <w:tr>
        <w:trPr>
          <w:trHeight w:val="256"/>
        </w:trPr>
        <w:tc>
          <w:tcPr>
            <w:tcW w:w="452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(Zip Code)</w:t>
            </w:r>
          </w:p>
        </w:tc>
      </w:tr>
      <w:tr>
        <w:trPr>
          <w:trHeight w:val="446"/>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(312) 265-0730</w:t>
            </w: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78"/>
        </w:trPr>
        <w:tc>
          <w:tcPr>
            <w:tcW w:w="111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0"/>
        </w:trPr>
        <w:tc>
          <w:tcPr>
            <w:tcW w:w="4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453"/>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4440" w:type="dxa"/>
            <w:vAlign w:val="bottom"/>
          </w:tcPr>
          <w:p>
            <w:pPr>
              <w:spacing w:after="0"/>
              <w:rPr>
                <w:sz w:val="24"/>
                <w:szCs w:val="24"/>
                <w:color w:val="auto"/>
              </w:rPr>
            </w:pPr>
          </w:p>
        </w:tc>
      </w:tr>
      <w:tr>
        <w:trPr>
          <w:trHeight w:val="40"/>
        </w:trPr>
        <w:tc>
          <w:tcPr>
            <w:tcW w:w="44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2"/>
          </w:tcPr>
          <w:p>
            <w:pPr>
              <w:spacing w:after="0"/>
              <w:rPr>
                <w:sz w:val="3"/>
                <w:szCs w:val="3"/>
                <w:color w:val="auto"/>
              </w:rPr>
            </w:pPr>
          </w:p>
        </w:tc>
        <w:tc>
          <w:tcPr>
            <w:tcW w:w="4540" w:type="dxa"/>
            <w:vAlign w:val="bottom"/>
            <w:tcBorders>
              <w:bottom w:val="single" w:sz="8" w:color="auto"/>
            </w:tcBorders>
            <w:gridSpan w:val="2"/>
          </w:tcPr>
          <w:p>
            <w:pPr>
              <w:spacing w:after="0"/>
              <w:rPr>
                <w:sz w:val="3"/>
                <w:szCs w:val="3"/>
                <w:color w:val="auto"/>
              </w:rPr>
            </w:pPr>
          </w:p>
        </w:tc>
      </w:tr>
      <w:tr>
        <w:trPr>
          <w:trHeight w:val="236"/>
        </w:trPr>
        <w:tc>
          <w:tcPr>
            <w:tcW w:w="111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51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83"/>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Trading Symbol</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236"/>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x</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00" w:type="dxa"/>
            <w:vAlign w:val="bottom"/>
          </w:tcPr>
          <w:p>
            <w:pPr>
              <w:ind w:left="580"/>
              <w:spacing w:after="0"/>
              <w:rPr>
                <w:sz w:val="20"/>
                <w:szCs w:val="20"/>
                <w:color w:val="auto"/>
              </w:rPr>
            </w:pPr>
            <w:r>
              <w:rPr>
                <w:rFonts w:ascii="Wingdings" w:cs="Wingdings" w:eastAsia="Wingdings" w:hAnsi="Wingdings"/>
                <w:sz w:val="18"/>
                <w:szCs w:val="18"/>
                <w:b w:val="1"/>
                <w:bCs w:val="1"/>
                <w:color w:val="auto"/>
              </w:rPr>
              <w:t>o</w:t>
            </w: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28, 2025, the registrant had 361,815,879 Class A subordinate voting shares and no Class B proportionate voting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120015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146050</wp:posOffset>
            </wp:positionV>
            <wp:extent cx="7003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4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40"/>
        </w:trPr>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398"/>
        </w:trPr>
        <w:tc>
          <w:tcPr>
            <w:tcW w:w="1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Financial Statements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1</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5640" w:type="dxa"/>
            <w:vAlign w:val="bottom"/>
            <w:gridSpan w:val="8"/>
          </w:tcPr>
          <w:p>
            <w:pPr>
              <w:spacing w:after="0"/>
              <w:rPr>
                <w:sz w:val="22"/>
                <w:szCs w:val="22"/>
                <w:color w:val="auto"/>
              </w:rPr>
            </w:pPr>
          </w:p>
        </w:tc>
        <w:tc>
          <w:tcPr>
            <w:tcW w:w="380" w:type="dxa"/>
            <w:vAlign w:val="bottom"/>
            <w:gridSpan w:val="2"/>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Statements of Operations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Statements of Changes in Shareholders' Equity</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5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Statements of Cash Flows</w:t>
            </w:r>
          </w:p>
        </w:tc>
        <w:tc>
          <w:tcPr>
            <w:tcW w:w="200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Interim Condensed Consolidated Financial Statements</w:t>
            </w:r>
          </w:p>
        </w:tc>
        <w:tc>
          <w:tcPr>
            <w:tcW w:w="5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FF"/>
              </w:rPr>
              <w:t>7</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33</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44</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240" w:type="dxa"/>
            <w:vAlign w:val="bottom"/>
            <w:tcBorders>
              <w:left w:val="single" w:sz="8" w:color="0000FF"/>
            </w:tcBorders>
            <w:gridSpan w:val="7"/>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44</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120" w:type="dxa"/>
            <w:vAlign w:val="bottom"/>
          </w:tcPr>
          <w:p>
            <w:pPr>
              <w:spacing w:after="0"/>
              <w:rPr>
                <w:sz w:val="24"/>
                <w:szCs w:val="24"/>
                <w:color w:val="auto"/>
              </w:rPr>
            </w:pPr>
          </w:p>
        </w:tc>
        <w:tc>
          <w:tcPr>
            <w:tcW w:w="10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46</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520" w:type="dxa"/>
            <w:vAlign w:val="bottom"/>
            <w:gridSpan w:val="2"/>
          </w:tcPr>
          <w:p>
            <w:pPr>
              <w:spacing w:after="0"/>
              <w:rPr>
                <w:sz w:val="22"/>
                <w:szCs w:val="22"/>
                <w:color w:val="auto"/>
              </w:rPr>
            </w:pPr>
          </w:p>
        </w:tc>
        <w:tc>
          <w:tcPr>
            <w:tcW w:w="85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47</w:t>
            </w:r>
          </w:p>
        </w:tc>
        <w:tc>
          <w:tcPr>
            <w:tcW w:w="10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48</w:t>
            </w:r>
          </w:p>
        </w:tc>
        <w:tc>
          <w:tcPr>
            <w:tcW w:w="100" w:type="dxa"/>
            <w:vAlign w:val="bottom"/>
          </w:tcPr>
          <w:p>
            <w:pPr>
              <w:spacing w:after="0"/>
              <w:rPr>
                <w:sz w:val="22"/>
                <w:szCs w:val="22"/>
                <w:color w:val="auto"/>
              </w:rPr>
            </w:pPr>
          </w:p>
        </w:tc>
      </w:tr>
      <w:tr>
        <w:trPr>
          <w:trHeight w:val="1080"/>
        </w:trPr>
        <w:tc>
          <w:tcPr>
            <w:tcW w:w="1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contains “forward-looking information” and “forward-looking statements” within the meaning of United States and Canadian securities laws (together, “forward-looking statements”). All statements, other than statements of historical fact, made by the Company or its affiliates that address activities, events or developments that the Company or its affiliates expect or anticipate will or may occur in the future are forward-looking statements, including, but not limited to, statements preceded by, followed by or that include words such as “may,” “will,” “would,” “could,” “should,” “believes,” “assumes,” “estimates,” “projects,” “potential,” “expects,” “plans,” “intends,” “anticipates,” “targeted,” “continues,” “forecasts,” “designed,” “goal,” “progress,” or the negative of those words or other similar or comparable words.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herein are based on certain key expectations and assumptions, including, but not limited to, expectations and assumptions concerning:</w:t>
      </w:r>
    </w:p>
    <w:p>
      <w:pPr>
        <w:spacing w:after="0" w:line="162"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renew licenses and other regulatory approvals in all states and localities of our operations and planned operations on a timely basis;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including future U.S. state and federal legislative and regulatory developments involving medical and adult use cannabis and the timing thereof;</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on our expansion and growth of business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business plans and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obtain necessary financing to pursue our growth and business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results and other financial and business conditions and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acquisitions and other commercial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operation of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facilities, equipment, skilled labor and services needed for cannabis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developments and trends in the medical and adult use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cannabis industry in the markets in which we operate or plan to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benefits, viability, safety, efficacy, and dosing of cannabis;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medical cannabis market and the adult use cannabis market in each state;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general economic and financial markets.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may relate to future financial conditions, results of operations, plans, strategies, objectives, performance or business developments. These statements speak only as at the date they are made and are based on information currently available and on the then-current expectations of the party making the statement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3"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 the U.S. federal regulatory landscape and enforcement related to medical or adult use cannabis, including political risks, civil asset forfeiture and regulation by additional regulatory authorities;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changes to U.S. federal, state and local laws related to medical or adult use cannabis, including political risks and regulation by additional regulatory authorities;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economic uncertainty stemming from disruptions in U.S. and global markets, inflation, rising interest rates, and changes in consumer and business confidence;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indebtedness and potential future indebtedness, including our ability to repay such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existing and new products and potential returns or recalls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brand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forecasted demand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fraudulent activity by employees, contractors and consultants;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growth-related operational and execution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findings in our clinical research with respect to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litigation matter with Vireo Growth Inc., formerly known as Goodness Growth Holdings,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natural phenomena and resulting potential uninsured or under insured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property will be subject to civil asset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structure and our resulting reliance on the performance of our subsidiaries and affiliates;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expansion-by-acquisition strategy;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 and cannabis licenses in desired markets and the integration and operation of acquired businesses;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typically limited operations of businesses we acquire;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unconventional due diligence process in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lease properties suitable for the cultivation, production and sale of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limited representations and warranties of businesses we may acquire;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businesses in developing cannabis markets;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portfolio diversification by industry or geography;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joint ventures, strategic partnerships and alliances;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relationships with our consolidated variable interest entities;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competition and new market entrants;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synthetic alternatives to cannabis products by pharmaceutical and other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immaturity of the cannabis industry and limited comparable, competitive and established industry best practices;</w:t>
      </w:r>
    </w:p>
    <w:p>
      <w:pPr>
        <w:spacing w:after="0" w:line="22"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reliance on third-party suppliers, service providers, contractors and manufacturers, and any significant interruption of these relationships, including negative changes to quality, availability, pricing, trade policy and other economics;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and retail price fluctuations;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opinion and perception of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or other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or volatile energy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and environmental risks and the impacts of environmental regulations on the cannabis industry and environmental protections;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security risks, such as theft;</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scrutiny from Canadian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disparate state-by-state regulatory landscapes and licensing regimes for medical and adult use cannabis;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cannabis businesses face accessing and maintaining banking or financial services due to federal regulations;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complying with various regulatory schemes;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social equity legislation as it relates to the cannabis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 bonding and insurance costs;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laws and policies governing employees and by union organizing activity;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divestment of licenses if required by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banking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public disclosure and governmental filings containing personal information of our officers, investors and other stakeholders;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findings by regulatory authorities that one of shareholders is unsuitable;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directors, officers, employees or investors are barred from entering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and constraints on, promoting and marketing cannabis products;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U.S. Food and Drug Administration governance of the cannabis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limitations on our ability to enforce our contracts or any liens granted to us;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lack of access to federal bankruptcy protections in the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information technology systems, the potential disclosure of personal information of patients and customers and cybersecurity risks;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software providers;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preserving our brand identity;</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due to limited intellectual property protections available for cannabis products and the potential infringement by third parties;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infringement or misappropriation claims;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financial crimes;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receiving no return on our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elimination of monetary liability and indemnification rights against our directors, officers and employees under British Columbia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capital structure with Class A subordinate voting shares and Class B proportionate voting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necessary to comply with corporate governance practices and securities rules and regulations in the U.S. and Canada;</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ability to maintain effective internal controls;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if we issue additional Subordinate Voting Shares or Proportionate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sales of a substantial amount of Subordinate Voting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restrictions on our Subordinate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our Subordinate Voting Shares;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limited participation in our affairs;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not declare or pay out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voting control;</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of cannabis companies in the U.S., including the impact of Section 280E of the Internal Revenue Code of 1986, as amended; and</w:t>
      </w:r>
    </w:p>
    <w:p>
      <w:pPr>
        <w:spacing w:after="0" w:line="22" w:lineRule="exact"/>
        <w:rPr>
          <w:rFonts w:ascii="Times New Roman" w:cs="Times New Roman" w:eastAsia="Times New Roman" w:hAnsi="Times New Roman"/>
          <w:sz w:val="18"/>
          <w:szCs w:val="18"/>
          <w:color w:val="auto"/>
        </w:rPr>
      </w:pPr>
    </w:p>
    <w:p>
      <w:pPr>
        <w:ind w:left="660" w:hanging="328"/>
        <w:spacing w:after="0" w:line="271" w:lineRule="auto"/>
        <w:tabs>
          <w:tab w:leader="none" w:pos="5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Company's Annual Report on Form 10-K for the fiscal year ended December 31, 2024 filed with the U.S. Securities and Exchange Commission (the “SEC”) on February 27, 2025 and in the Company's Quarterly Report on Form 10-Q for the quarter ended March 31, 2025 filed with the SEC on May 8, 2025, as more particularly described. in each case, under the heading “Item 1A. Risk Factors” therein.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the expectations and assumptions on which forward-looking statements are based are reasonable at the time made, undue reliance should not be placed on the forward-looking statements, because no assurance can be given that they will prove to be correct. Forward-looking statements address future events and conditions, and thus involve inherent risks and uncertainties. Readers are cautioned that the above list of cautionary statements is not exhaustive.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cannabis industry involves risks and uncertainties that are subject to change based on various factors. Certain forward-looking statements contained herein concerning the cannabis industry and our general expectations concerning the cannabis industry are based on estimates prepared by us using data from publicly available governmental sources as well as from market research and industry analysis and on assumptions based on data and knowledge of the cannabis industry. Such data is inherently imprecise.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forward-looking statements made in this Form 10-Q and our other documents are qualified by such cautionary statements and there can be no assurance that the anticipated results or developments will actually be realized or, even if realized, that they will have the expected consequences to or effects on us. We do not undertake any obligation to update or revise any forward-looking statements, whether as a result of new information, future events or otherwise, other than as required under applicable securities legislation.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3"/>
        </w:trPr>
        <w:tc>
          <w:tcPr>
            <w:tcW w:w="8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40,264</w:t>
            </w: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Held for Sale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w:t>
            </w:r>
          </w:p>
        </w:tc>
      </w:tr>
      <w:tr>
        <w:trPr>
          <w:trHeight w:val="196"/>
        </w:trPr>
        <w:tc>
          <w:tcPr>
            <w:tcW w:w="8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3"/>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357,509</w:t>
            </w:r>
          </w:p>
        </w:tc>
      </w:tr>
      <w:tr>
        <w:trPr>
          <w:trHeight w:val="216"/>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246,230</w:t>
            </w: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w:t>
            </w:r>
          </w:p>
        </w:tc>
      </w:tr>
      <w:tr>
        <w:trPr>
          <w:trHeight w:val="196"/>
        </w:trPr>
        <w:tc>
          <w:tcPr>
            <w:tcW w:w="8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30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6"/>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39,927</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68,941</w:t>
            </w: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58,762</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40"/>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197,968</w:t>
            </w: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6"/>
        </w:trPr>
        <w:tc>
          <w:tcPr>
            <w:tcW w:w="8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97,884</w:t>
            </w:r>
          </w:p>
        </w:tc>
      </w:tr>
      <w:tr>
        <w:trPr>
          <w:trHeight w:val="41"/>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Uncertain Tax Positions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270,579</w:t>
            </w:r>
          </w:p>
        </w:tc>
      </w:tr>
      <w:tr>
        <w:trPr>
          <w:trHeight w:val="24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74,099</w:t>
            </w:r>
          </w:p>
        </w:tc>
      </w:tr>
      <w:tr>
        <w:trPr>
          <w:trHeight w:val="41"/>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196"/>
        </w:trPr>
        <w:tc>
          <w:tcPr>
            <w:tcW w:w="8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4"/>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840,169</w:t>
            </w:r>
          </w:p>
        </w:tc>
      </w:tr>
      <w:tr>
        <w:trPr>
          <w:trHeight w:val="216"/>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1,041,265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1,038,137</w:t>
            </w:r>
          </w:p>
        </w:tc>
      </w:tr>
      <w:tr>
        <w:trPr>
          <w:trHeight w:val="196"/>
        </w:trPr>
        <w:tc>
          <w:tcPr>
            <w:tcW w:w="8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6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952,174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41"/>
        </w:trPr>
        <w:tc>
          <w:tcPr>
            <w:tcW w:w="8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6"/>
        </w:trPr>
        <w:tc>
          <w:tcPr>
            <w:tcW w:w="8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7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1,925,350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1,988,956</w:t>
            </w:r>
          </w:p>
        </w:tc>
      </w:tr>
      <w:tr>
        <w:trPr>
          <w:trHeight w:val="27"/>
        </w:trPr>
        <w:tc>
          <w:tcPr>
            <w:tcW w:w="8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ectPr>
          <w:pgSz w:w="11900" w:h="16838" w:orient="portrait"/>
          <w:cols w:equalWidth="0" w:num="1">
            <w:col w:w="11240"/>
          </w:cols>
          <w:pgMar w:left="320" w:top="297" w:right="339"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Operations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92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660,379</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323,982</w:t>
            </w:r>
          </w:p>
        </w:tc>
        <w:tc>
          <w:tcPr>
            <w:tcW w:w="0" w:type="dxa"/>
            <w:vAlign w:val="bottom"/>
          </w:tcPr>
          <w:p>
            <w:pPr>
              <w:spacing w:after="0"/>
              <w:rPr>
                <w:sz w:val="1"/>
                <w:szCs w:val="1"/>
                <w:color w:val="auto"/>
              </w:rPr>
            </w:pPr>
          </w:p>
        </w:tc>
      </w:tr>
      <w:tr>
        <w:trPr>
          <w:trHeight w:val="41"/>
        </w:trPr>
        <w:tc>
          <w:tcPr>
            <w:tcW w:w="5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336,397</w:t>
            </w:r>
          </w:p>
        </w:tc>
        <w:tc>
          <w:tcPr>
            <w:tcW w:w="0" w:type="dxa"/>
            <w:vAlign w:val="bottom"/>
          </w:tcPr>
          <w:p>
            <w:pPr>
              <w:spacing w:after="0"/>
              <w:rPr>
                <w:sz w:val="1"/>
                <w:szCs w:val="1"/>
                <w:color w:val="auto"/>
              </w:rPr>
            </w:pPr>
          </w:p>
        </w:tc>
      </w:tr>
      <w:tr>
        <w:trPr>
          <w:trHeight w:val="40"/>
        </w:trPr>
        <w:tc>
          <w:tcPr>
            <w:tcW w:w="5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269,690</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Impairment of Fixed Assets &amp; Held For Sale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269,690</w:t>
            </w:r>
          </w:p>
        </w:tc>
        <w:tc>
          <w:tcPr>
            <w:tcW w:w="0" w:type="dxa"/>
            <w:vAlign w:val="bottom"/>
          </w:tcPr>
          <w:p>
            <w:pPr>
              <w:spacing w:after="0"/>
              <w:rPr>
                <w:sz w:val="1"/>
                <w:szCs w:val="1"/>
                <w:color w:val="auto"/>
              </w:rPr>
            </w:pPr>
          </w:p>
        </w:tc>
      </w:tr>
      <w:tr>
        <w:trPr>
          <w:trHeight w:val="40"/>
        </w:trPr>
        <w:tc>
          <w:tcPr>
            <w:tcW w:w="5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66,707</w:t>
            </w:r>
          </w:p>
        </w:tc>
        <w:tc>
          <w:tcPr>
            <w:tcW w:w="0" w:type="dxa"/>
            <w:vAlign w:val="bottom"/>
          </w:tcPr>
          <w:p>
            <w:pPr>
              <w:spacing w:after="0"/>
              <w:rPr>
                <w:sz w:val="1"/>
                <w:szCs w:val="1"/>
                <w:color w:val="auto"/>
              </w:rPr>
            </w:pPr>
          </w:p>
        </w:tc>
      </w:tr>
      <w:tr>
        <w:trPr>
          <w:trHeight w:val="41"/>
        </w:trPr>
        <w:tc>
          <w:tcPr>
            <w:tcW w:w="50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18,332</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(87,485)</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Verano Holdings Corp. &amp;</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10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10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(74,497)</w:t>
            </w:r>
          </w:p>
        </w:tc>
        <w:tc>
          <w:tcPr>
            <w:tcW w:w="100" w:type="dxa"/>
            <w:vAlign w:val="bottom"/>
            <w:shd w:val="clear" w:color="auto" w:fill="CCEEFF"/>
          </w:tcPr>
          <w:p>
            <w:pPr>
              <w:spacing w:after="0"/>
              <w:rPr>
                <w:sz w:val="20"/>
                <w:szCs w:val="20"/>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(69,153)</w:t>
            </w:r>
          </w:p>
        </w:tc>
        <w:tc>
          <w:tcPr>
            <w:tcW w:w="0" w:type="dxa"/>
            <w:vAlign w:val="bottom"/>
          </w:tcPr>
          <w:p>
            <w:pPr>
              <w:spacing w:after="0"/>
              <w:rPr>
                <w:sz w:val="1"/>
                <w:szCs w:val="1"/>
                <w:color w:val="auto"/>
              </w:rPr>
            </w:pPr>
          </w:p>
        </w:tc>
      </w:tr>
      <w:tr>
        <w:trPr>
          <w:trHeight w:val="25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3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3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&amp; Diluted – weighted average shares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361,788,905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351,168,596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360,444,112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346,727,978</w:t>
            </w:r>
          </w:p>
        </w:tc>
        <w:tc>
          <w:tcPr>
            <w:tcW w:w="0" w:type="dxa"/>
            <w:vAlign w:val="bottom"/>
          </w:tcPr>
          <w:p>
            <w:pPr>
              <w:spacing w:after="0"/>
              <w:rPr>
                <w:sz w:val="1"/>
                <w:szCs w:val="1"/>
                <w:color w:val="auto"/>
              </w:rPr>
            </w:pPr>
          </w:p>
        </w:tc>
      </w:tr>
      <w:tr>
        <w:trPr>
          <w:trHeight w:val="486"/>
        </w:trPr>
        <w:tc>
          <w:tcPr>
            <w:tcW w:w="10060" w:type="dxa"/>
            <w:vAlign w:val="bottom"/>
            <w:gridSpan w:val="11"/>
          </w:tcPr>
          <w:p>
            <w:pPr>
              <w:ind w:left="1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6"/>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6"/>
                <w:szCs w:val="16"/>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1, 2024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346,417,144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1,689,723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1,221,392</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in conjunction with acquisitions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10,416,041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34,453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34,453</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(42,567)</w:t>
            </w: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356,925,414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1,728,843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1,217,718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1, 2025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361,779,913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1,741,501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(814,271)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925,455</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(43,832)</w:t>
            </w:r>
          </w:p>
        </w:tc>
      </w:tr>
      <w:tr>
        <w:trPr>
          <w:trHeight w:val="250"/>
        </w:trPr>
        <w:tc>
          <w:tcPr>
            <w:tcW w:w="30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5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361,815,879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1,743,962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884,085</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Equity (Continued)</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6"/>
                <w:szCs w:val="16"/>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344,074,096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1,681,840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(441,747)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1,240,080</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2,404,096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12,550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12,550</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shares in conjunction with acquisitions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10,416,041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34,453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34,453</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(69,153)</w:t>
            </w: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356,925,414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1,728,843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1,217,718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Subordinate Voting</w:t>
            </w:r>
          </w:p>
        </w:tc>
        <w:tc>
          <w:tcPr>
            <w:tcW w:w="26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4"/>
        </w:trPr>
        <w:tc>
          <w:tcPr>
            <w:tcW w:w="304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3"/>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358,747,290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1,735,775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(783,606)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950,819</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2,771,364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&amp; other adjustments to</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accounting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holders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adjustment for change in</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5"/>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ownership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16"/>
        </w:trPr>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(74,497)</w:t>
            </w:r>
          </w:p>
        </w:tc>
      </w:tr>
      <w:tr>
        <w:trPr>
          <w:trHeight w:val="196"/>
        </w:trPr>
        <w:tc>
          <w:tcPr>
            <w:tcW w:w="304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54"/>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361,815,879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1,743,962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884,085</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20" w:type="dxa"/>
            <w:vAlign w:val="bottom"/>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9"/>
        </w:trPr>
        <w:tc>
          <w:tcPr>
            <w:tcW w:w="8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Verano Holdings Corp. and Subsidiaries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(74,497)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(69,153)</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108,150</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Right-of-use assets amortization</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9,466</w:t>
            </w: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Gain on deconsolidation</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 on impairment of fixed assets &amp; held for sale assets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13,034</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Loss contingencies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net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8,368</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(18,310)</w:t>
            </w: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Income tax payable</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36,523</w:t>
            </w: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Uncertain tax positions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(15,003)</w:t>
            </w:r>
          </w:p>
        </w:tc>
      </w:tr>
      <w:tr>
        <w:trPr>
          <w:trHeight w:val="206"/>
        </w:trPr>
        <w:tc>
          <w:tcPr>
            <w:tcW w:w="8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 assets, net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liabilities, net</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(6,646)</w:t>
            </w: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68,694</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9"/>
        </w:trPr>
        <w:tc>
          <w:tcPr>
            <w:tcW w:w="8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(35,875)</w:t>
            </w: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(84,803)</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disposal of assets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deconsolidation</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(120,852)</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08"/>
        </w:trPr>
        <w:tc>
          <w:tcPr>
            <w:tcW w:w="8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deferred acquisition price payable</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repayments of debt</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(56,466)</w:t>
            </w: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issuance costs paid</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debt extinguishment</w:t>
            </w:r>
          </w:p>
        </w:tc>
        <w:tc>
          <w:tcPr>
            <w:tcW w:w="9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paid to non-controlling interest holders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0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(57,635)</w:t>
            </w:r>
          </w:p>
        </w:tc>
      </w:tr>
      <w:tr>
        <w:trPr>
          <w:trHeight w:val="23"/>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8"/>
        </w:trPr>
        <w:tc>
          <w:tcPr>
            <w:tcW w:w="8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(109,793)</w:t>
            </w:r>
          </w:p>
        </w:tc>
      </w:tr>
      <w:tr>
        <w:trPr>
          <w:trHeight w:val="24"/>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Effects of exchange rate fluctuations on cash and cash equivalents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174,760</w:t>
            </w: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net</w:t>
            </w:r>
          </w:p>
        </w:tc>
        <w:tc>
          <w:tcPr>
            <w:tcW w:w="9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39,838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0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extinguishment in connection with deconsolidation</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debt for acquisition of business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26,700</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under business combinations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34,453</w:t>
            </w:r>
          </w:p>
        </w:tc>
      </w:tr>
      <w:tr>
        <w:trPr>
          <w:trHeight w:val="21"/>
        </w:trPr>
        <w:tc>
          <w:tcPr>
            <w:tcW w:w="8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812" w:gutter="0" w:footer="0" w:header="0"/>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812"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AND BASIS OF PRESENTATION</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13"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stated or the context requires otherwise, references herein to the “Company,” “Verano,” “we,” “us,” and “our” mean Verano Holdings Corp. and its direct and indirect subsidiaries, and controlled and managed entities.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vertically integrated cannabis operator that focuses on limited-licensed markets in the United States (“U.S.”). As a vertically integrated operator, the Company owns, operates, manages, controls, and/or has licensing, consulting or other commercial agreements with cultivation, processing, and retail licenses across 13 state markets (Arizona, Connecticut, Florida, Illinois, Maryland, Massachusetts, Michigan, Nevada, New Jersey, Ohio, Pennsylvania, Virginia and West Virginia).</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conducts pre-licensing activities in other markets. In these markets, the Company has either applied for licenses, or plans on applying for licenses, but does not currently operate or manage any cultivation, processing, or retail licenses.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Class A subordinate voting shares, no par value (the “Subordinate Voting Shares”) are listed on Cboe Canada (“Cboe”) under the ticker symbol “VRNO” and are quoted in the United States on the OTCQX marketplace operated by the OTC Market Group, under the ticker symbol “VRNOF”.</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corporate headquarters is located at 224 W Hill Street, Suite 400, Chicago, Illinois 60610.</w:t>
      </w:r>
    </w:p>
    <w:p>
      <w:pPr>
        <w:spacing w:after="0" w:line="22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accompanying Unaudited Interim Condensed Consolidated Financial Statements have been prepared in accordance with accounting principles generally accepted in the United States (“GAAP”) for interim financial information and in accordance with the rules and regulations of the U.S. Securities and Exchange Commission (“SEC”). Accordingly, certain information and disclosures required by GAAP for annual financial statements have been omitted. In the opinion of management, all adjustments, consisting of normal recurring adjustments, considered necessary for a fair presentation have been included. Unless otherwise indicated, all references to “$” or “US$” in this Form 10-Q refer to United States dollars, and all references to “C$” refer to Canadian dollars. These Unaudited Interim Condensed Consolidated Financial Statements should be read in conjunction with the Company's audited consolidated financial statements and notes thereto as of and for the year ended December 31, 2024 (the “2024 Annual Audited Financials”), included in the Company’s Annual Report on Form 10-K filed with the SEC on February 27, 2025 (the “Form 10-K”). Certain prior year amounts have been reclassified to conform to the current year's presentation, which the Company does not consider to be material. The accompanying Unaudited Interim Condensed Consolidated Financial Statements include the accounts of Verano Holdings Corp. and its direct and indirect subsidiaries as well as the accounts of any entities over which the Company has a controlling financial interest in accordance with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preparation of the Company’s Unaudited Interim Condensed Consolidated Financial Statements requires management to make estimates and assumptions that impact the reported amounts of assets, liabilities, revenue and expenses and the disclosure of assets and liabilities in such financial statements and in the accompanying notes. Actual results may differ materially from these estimates. The results of operations for the three and nine months ended September 30, 2025 are not necessarily indicative of the results to be expected for the 2025 full year or any future periods. The accompanying consolidated balance sheet as of December 31, 2024 has been derived from the audited consolidated balance sheet as of December 31, 2024 contained in the 2024 Annual Audited Financials included in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-5909310</wp:posOffset>
            </wp:positionV>
            <wp:extent cx="7003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7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Unaudited Interim Condensed Consolidated Financial Statements have been prepared in accordance with GAAP and include the accounts of the Company and its subsidiaries, as well as the accounts of any entities over which the Company has a controlling financial interest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All transactions and balances between these entities have been eliminated upon consolidation.</w:t>
      </w:r>
    </w:p>
    <w:p>
      <w:pPr>
        <w:spacing w:after="0" w:line="17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 the exception of Assets Held for Sale, as described below, there have been no changes to the Company’s significant accounting policies as described in </w:t>
      </w:r>
      <w:r>
        <w:rPr>
          <w:rFonts w:ascii="Times New Roman" w:cs="Times New Roman" w:eastAsia="Times New Roman" w:hAnsi="Times New Roman"/>
          <w:sz w:val="18"/>
          <w:szCs w:val="18"/>
          <w:i w:val="1"/>
          <w:iCs w:val="1"/>
          <w:color w:val="auto"/>
        </w:rPr>
        <w:t>Note 2 - Significant Accounting Policies</w:t>
      </w:r>
      <w:r>
        <w:rPr>
          <w:rFonts w:ascii="Times New Roman" w:cs="Times New Roman" w:eastAsia="Times New Roman" w:hAnsi="Times New Roman"/>
          <w:sz w:val="18"/>
          <w:szCs w:val="18"/>
          <w:color w:val="auto"/>
        </w:rPr>
        <w:t xml:space="preserve"> to the 2024 Annual Audited Financials included in the Form 10-K.</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Assets held for sale represent land, buildings and other fixed assets less accumulated depreciation related to facilities in which the Company has no continuing involvement. The Company records assets held for sale in accordance with ASC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at the lower of carrying value or fair value less cost to sell. Fair value is based on the estimated proceeds from the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utilizing recent purchase offers. In an effort to maximize its return on investments coupled with footprint optimization, the Company had $36,181 of assets held for sale related to cultivation facilities in Florida, Massachusetts and Pennsylvania and $2,216 of assets held for sale related to two retail facilities in Massachusetts and a property in Virginia as of September 30, 2025. During the three months ended September 30, 2025, the Company recorded an impairment on a held-for-sale asset related to a cultivation facility in Pennsylvania of $5,400 as the carrying value exceed the fair value less the cost to sell by such amount.</w:t>
      </w:r>
    </w:p>
    <w:p>
      <w:pPr>
        <w:spacing w:after="0" w:line="18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using the treasury stock method, by dividing the net earnings (losses) attributable to shareholders by the weighted average number of shares (including the Company's Class B proportionate voting shares, no par value (the “Proportionate Voting Shares”) on an as converted to Subordinate Voting Shares basis of 100 Subordinate Voting Shares to one Proportionate Voting Share) outstanding during each of the periods presented. Contingently issuable shares (including shares held in escrow) are not considered outstanding shares and consequently are not included in the earnings (loss) per share calculations. Diluted income per share is calculated by adjusting the weighted average number of shares outstanding to assume conversion of all dilutive potential shares.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diluted income (loss) per share, the Company assumes that any proceeds from the exercise of dilutive share options would be used to repurchase shares at the average market price during the period. The diluted income (loss) per share calculation excludes any potential conversion of share options and convertible debt, if any, that would increase earnings per share or decrease loss per share. No potentially dilutive share equivalents were included in the computation of diluted loss per share for the three and nine months ended September 30, 2025 and 2024 because their impact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-5417820</wp:posOffset>
            </wp:positionV>
            <wp:extent cx="70034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OVERVIEW AND BASIS OF PRESENTATION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78"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2025, the Financial Accounting Standards Board issued Accounting Standards Update 2025-06, Intangibles - Goodwill and Other - Internal-Use Software (Subtopic 350-40): Targeted Improvements to the Accounting for Internal-Use Software (ASU “2025-06”)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While the Company is currently evaluating the impact of ASU 2025-06 on the consolidated financial statements, we do not expect it to have a material impact on our financial position or results of operations and we do not intend to early adopt.</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issued Accounting Standards Update 2024-03, Income Statement-Reporting Comprehensive Income-Expense Disaggregation Disclosures (“ASU 2024-03”): Disaggregation of Income Statement Expenses (as clarified by ASU 2025-01). This guidance focuses on the disaggregation of income statement expenses. ASU 2024-03 requires entities to provide more detailed disclosures about the components of significant expense categories, enhancing the transparency and decision-usefulness of financial statements. The objective is to provide users with a clearer understanding of the nature and variability of expenses reported in the income statement. The standard is effective for annual periods of fiscal years beginning after December 15, 2026, and interim periods of fiscal years beginning after December 15, 2027 with early adoption permitted. The Company is currently assessing the impact of ASU 2024-03 on our financial statement disclosures. While we anticipate that the adoption of this standard will require additional disclosures, we do not expect it to have a material impact on our financial position or results of operations.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2023, the Financial Accounting Standards Board issued Accounting Standards Update 2023-09, Income Taxes (Topic 740): Improvements to Income Tax Disclosures (ASU “2023-09”), which requires disclosure of disaggregated income taxes paid, prescribes standard categories for the components of the effective tax rate reconciliation, and modifies other income tax-related disclosures. ASU 2023-09 is effective for fiscal years beginning after December 15, 2024 and allows for early adoption. While we anticipate that the adoption of this standard will require additional disclosures, we do not expect it to have a material impact on our financial position or results of operations and we do not intend to early adopt.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-4043680</wp:posOffset>
            </wp:positionV>
            <wp:extent cx="7003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inventory consists of the following as of September 30,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9"/>
                <w:szCs w:val="19"/>
                <w:color w:val="auto"/>
              </w:rPr>
            </w:pPr>
          </w:p>
        </w:tc>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2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520" w:type="dxa"/>
            <w:vAlign w:val="bottom"/>
            <w:tcBorders>
              <w:bottom w:val="single" w:sz="8" w:color="CCEEFF"/>
            </w:tcBorders>
          </w:tcPr>
          <w:p>
            <w:pPr>
              <w:spacing w:after="0"/>
              <w:rPr>
                <w:sz w:val="3"/>
                <w:szCs w:val="3"/>
                <w:color w:val="auto"/>
              </w:rPr>
            </w:pPr>
          </w:p>
        </w:tc>
        <w:tc>
          <w:tcPr>
            <w:tcW w:w="20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Inventory</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219,716</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184,456</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top w:val="single" w:sz="8" w:color="auto"/>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4"/>
        </w:trPr>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0" w:type="dxa"/>
            <w:vAlign w:val="bottom"/>
            <w:tcBorders>
              <w:bottom w:val="single" w:sz="8" w:color="9A9A9A"/>
            </w:tcBorders>
          </w:tcPr>
          <w:p>
            <w:pPr>
              <w:spacing w:after="0"/>
              <w:rPr>
                <w:sz w:val="11"/>
                <w:szCs w:val="11"/>
                <w:color w:val="auto"/>
              </w:rPr>
            </w:pPr>
          </w:p>
        </w:tc>
        <w:tc>
          <w:tcPr>
            <w:tcW w:w="3520" w:type="dxa"/>
            <w:vAlign w:val="bottom"/>
            <w:tcBorders>
              <w:bottom w:val="single" w:sz="8" w:color="9A9A9A"/>
            </w:tcBorders>
          </w:tcPr>
          <w:p>
            <w:pPr>
              <w:spacing w:after="0"/>
              <w:rPr>
                <w:sz w:val="11"/>
                <w:szCs w:val="11"/>
                <w:color w:val="auto"/>
              </w:rPr>
            </w:pPr>
          </w:p>
        </w:tc>
        <w:tc>
          <w:tcPr>
            <w:tcW w:w="20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9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and related accumulated depreciation consists of the following as of September 30, 2025 and December 31, 2024:</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29,032</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173,432</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28,525</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Equipment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98,133</w:t>
            </w:r>
          </w:p>
        </w:tc>
      </w:tr>
      <w:tr>
        <w:trPr>
          <w:trHeight w:val="41"/>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r>
      <w:tr>
        <w:trPr>
          <w:trHeight w:val="28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Assets Under Construction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96,981</w:t>
            </w:r>
          </w:p>
        </w:tc>
      </w:tr>
      <w:tr>
        <w:trPr>
          <w:trHeight w:val="237"/>
        </w:trPr>
        <w:tc>
          <w:tcPr>
            <w:tcW w:w="6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720,606</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(182,642)</w:t>
            </w:r>
          </w:p>
        </w:tc>
      </w:tr>
      <w:tr>
        <w:trPr>
          <w:trHeight w:val="237"/>
        </w:trPr>
        <w:tc>
          <w:tcPr>
            <w:tcW w:w="66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30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537,964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800" w:hanging="144"/>
        <w:spacing w:after="0"/>
        <w:tabs>
          <w:tab w:leader="none" w:pos="80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Assets under construction represent construction in progress related to facilities not yet completed or otherwise not placed in service.</w:t>
      </w:r>
    </w:p>
    <w:p>
      <w:pPr>
        <w:spacing w:after="0" w:line="19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September 30, 2024, depreciation expense included in costs of goods sold totaled $9,894 and $9,511, respectively. For the three months ended September 30, 2025 and September 30, 2024, depreciation expense included in selling, general, and administrative expense totaled $4,896 and $4,401, respectively.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and September 30, 2024, depreciation expense included in costs of goods sold totaled $29,567 and $27,065, respectively. For the nine months ended September 30, 2025 and September 30, 2024, depreciation expense included in selling, general, and administrative expense totaled $14,952 and $12,558,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and impairment losses, if any. Intangible assets acquired in a business combination are measured at fair value as of the acquisition date. Amortization of definite life intangible assets is provided on a straight-line basis over their estimated useful lives. The estimated useful lives, residual values, and amortization methods for intangible assets are reviewed by the Company at each year end, and any changes in estimates are accounted for prospectively.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intangible assets consisted of the following:</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Tradenames</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Cost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41"/>
        </w:trPr>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06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239,007</w:t>
            </w:r>
          </w:p>
        </w:tc>
      </w:tr>
      <w:tr>
        <w:trPr>
          <w:trHeight w:val="41"/>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50,234</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264,745</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0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Net Book Value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734,005</w:t>
            </w:r>
          </w:p>
        </w:tc>
      </w:tr>
      <w:tr>
        <w:trPr>
          <w:trHeight w:val="270"/>
        </w:trPr>
        <w:tc>
          <w:tcPr>
            <w:tcW w:w="20" w:type="dxa"/>
            <w:vAlign w:val="bottom"/>
          </w:tcPr>
          <w:p>
            <w:pPr>
              <w:spacing w:after="0"/>
              <w:rPr>
                <w:sz w:val="23"/>
                <w:szCs w:val="23"/>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657,613</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10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683,771</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the estimated annual amortization expense related to intangible assets as of September 30, 2025:</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8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40"/>
        </w:trPr>
        <w:tc>
          <w:tcPr>
            <w:tcW w:w="8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7"/>
        </w:trPr>
        <w:tc>
          <w:tcPr>
            <w:tcW w:w="8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 (Remaining)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r>
      <w:tr>
        <w:trPr>
          <w:trHeight w:val="243"/>
        </w:trPr>
        <w:tc>
          <w:tcPr>
            <w:tcW w:w="8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66,332</w:t>
            </w:r>
          </w:p>
        </w:tc>
      </w:tr>
      <w:tr>
        <w:trPr>
          <w:trHeight w:val="40"/>
        </w:trPr>
        <w:tc>
          <w:tcPr>
            <w:tcW w:w="8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8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66,273</w:t>
            </w:r>
          </w:p>
        </w:tc>
      </w:tr>
      <w:tr>
        <w:trPr>
          <w:trHeight w:val="243"/>
        </w:trPr>
        <w:tc>
          <w:tcPr>
            <w:tcW w:w="8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66,259</w:t>
            </w:r>
          </w:p>
        </w:tc>
      </w:tr>
      <w:tr>
        <w:trPr>
          <w:trHeight w:val="40"/>
        </w:trPr>
        <w:tc>
          <w:tcPr>
            <w:tcW w:w="8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8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66,257</w:t>
            </w:r>
          </w:p>
        </w:tc>
      </w:tr>
      <w:tr>
        <w:trPr>
          <w:trHeight w:val="243"/>
        </w:trPr>
        <w:tc>
          <w:tcPr>
            <w:tcW w:w="8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401,905</w:t>
            </w:r>
          </w:p>
        </w:tc>
      </w:tr>
      <w:tr>
        <w:trPr>
          <w:trHeight w:val="40"/>
        </w:trPr>
        <w:tc>
          <w:tcPr>
            <w:tcW w:w="83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95"/>
        </w:trPr>
        <w:tc>
          <w:tcPr>
            <w:tcW w:w="8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for the nine months ended September 30, 2025 were as follows: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Adjustments to</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2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2620" w:type="dxa"/>
            <w:vAlign w:val="bottom"/>
          </w:tcPr>
          <w:p>
            <w:pPr>
              <w:spacing w:after="0"/>
              <w:rPr>
                <w:sz w:val="20"/>
                <w:szCs w:val="20"/>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allocation</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1"/>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48,890</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198,710</w:t>
            </w:r>
          </w:p>
        </w:tc>
      </w:tr>
      <w:tr>
        <w:trPr>
          <w:trHeight w:val="41"/>
        </w:trPr>
        <w:tc>
          <w:tcPr>
            <w:tcW w:w="26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9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247,600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presents basic earnings (losses) per share. Basic earnings (losses) per share is calculated by dividing the earnings (loss) attributable to shareholders by the weighted average number of Subordinate Voting Shares (with outstanding Proportionate Voting Shares, if any, accounted for on an as converted to Subordinate Voting Shares basis) outstanding during the periods presented. Diluted earnings (losses) per share is computed based on the weighted average number of Subordinate Voting Shares (with outstanding Proportionate Voting Shares, if any, accounted for on an as converted to Subordinate Voting Shares basis) outstanding, to the extent dilutive.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computations of net earnings (loss) per share on a basic and diluted basis, including reconciliations of the numerators and denominators, for the three and nine months ended September 30, 2025 and September 30, 2024 were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Verano Holdings Corp.</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(74,497)</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3"/>
        </w:trPr>
        <w:tc>
          <w:tcPr>
            <w:tcW w:w="20" w:type="dxa"/>
            <w:vAlign w:val="bottom"/>
            <w:shd w:val="clear" w:color="auto" w:fill="CCEEFF"/>
          </w:tcPr>
          <w:p>
            <w:pPr>
              <w:spacing w:after="0"/>
              <w:rPr>
                <w:sz w:val="17"/>
                <w:szCs w:val="17"/>
                <w:color w:val="auto"/>
              </w:rPr>
            </w:pPr>
          </w:p>
        </w:tc>
        <w:tc>
          <w:tcPr>
            <w:tcW w:w="394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20" w:type="dxa"/>
            <w:vAlign w:val="bottom"/>
          </w:tcPr>
          <w:p>
            <w:pPr>
              <w:spacing w:after="0"/>
              <w:rPr>
                <w:sz w:val="21"/>
                <w:szCs w:val="21"/>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361,788,905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351,168,596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360,444,112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346,727,978</w:t>
            </w: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1"/>
        </w:trPr>
        <w:tc>
          <w:tcPr>
            <w:tcW w:w="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361,788,905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351,168,596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360,444,112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346,727,978</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40"/>
        </w:trPr>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outstanding restricted stock units (“RSUs”) of approximately 4,794,732 were anti-dilutive under the treasury stock method and were excluded from the computation of diluted earnings (loss) per share. These awards may be dilutive in the future. Potentially dilutive securities of approximately 2,223,321 and 3,672,228 for the three and nine months ended September 30, 2024, respectively, were not included in the computation of diluted earnings per share because their effect would have been anti-dilutive.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described below are business combinations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Acquisitions that are determined to be the acquisition of a business are accounted for by applying the acquisition method, whereby the assets acquired, and the liabilities assumed are recorded at their fair values at the date of acquisition with any excess of the aggregate consideration over the fair values of the identifiable net assets allocated to goodwill. Operating results for the companies acquired have been included in these Unaudited Interim Condensed Consolidated Financial Statements from the date of the acquisition. Any goodwill recognized is attributed based on reporting units.</w:t>
      </w:r>
    </w:p>
    <w:p>
      <w:pPr>
        <w:spacing w:after="0" w:line="18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purchase price allocations for the acquisitions reflect various fair value estimates and analyses which are subject to change within the measurement period, which is the one-year period subsequent to the acquisition date. The primary areas of the purchase price allocation that are subject to change relate to the fair value of certain tangible assets, the value of intangible assets acquired, and residual goodwill. The Company expects to continue to obtain information to assist in determining the fair value of the net assets acquired at the acquisition date during the measurement period.</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Measurement period adjustments that the Company determined to be material will be applied prospectively in the Company’s future consolidated financial statements, and depending on the nature of the adjustments, other periods subsequent to the period of acquisition could be affected.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2024 Business Combinations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203 Organix L.L.C. &amp; Salubrious Wellness Clinic, Inc.</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two equity purchase agreements with (a) The Cannabist Company Holdings Inc. (“Cannabist”), CC VA Holdco LLC, Columbia Care – Arizona, Tempe, L.L.C., Thomas Allison and Salubrious Wellness Clinic, Inc. (“SWC”), pursuant to which the Company acquired all of the issued and outstanding equity interests of SWC, and (b) Cannabist, CC VA Holdco LLC, Columbia Care-Arizona, Prescott, L.L.C. and 203 Organix, LLC (“203” and together with SWC, “Cannabist AZ”), pursuant to which the Company acquired all of the issued and outstanding equity interests of 203. The Company added an active cultivation and production facility and increased the Company's retail footprint in Arizona. The transactions closed on August 16, 2024. Pursuant to the equity purchase agreement, the Company paid total cash consideration of $12,891.</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 July 29, 2024, the Company entered into an equity purchase agreement with Cannabist, Columbia Care Eastern Virginia LLC (“CC East Virginia”), and the members of CC East Virginia party thereto (the “Virginia EPA”), pursuant to which the Company acquired all of the issued and outstanding equity interests of CC East Virginia. CC East Virginia is the sole vertical cannabis operator in HSA 5 in Eastern Virginia. The transaction closed on August 21, 2024. Pursuant to the Virginia EPA, the Company paid $24,122 in cash consideration and equity consideration of 10,416,041 Subordinate Voting Shares with an estimated fair value of $34,453, all of which was distributed on the closing date of the transaction. In addition, on the closing date of the transaction, the Company issued a $26,700 promissory note, which was subsequently amended on May 27, 2025 to $27,852 in connection with a purchase price adjustment (the “CC East Virginia Promissory Note”). The CC East Virginia Promissory Note has an estimated fair value of $26,068 and bears interest at a rate of 7% per annum and matures on the two-year anniversary of the transaction closing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acquisitions of CC East Virginia and Cannabist AZ, the purchase price allocation is complete.</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acquisitions of CC East Virginia and Cannabist AZ, the major classes of assets and liabilities to which we have preliminarily allocated the purchase price were as follows:</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5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CC East Virginia</w:t>
            </w:r>
          </w:p>
        </w:tc>
        <w:tc>
          <w:tcPr>
            <w:tcW w:w="280" w:type="dxa"/>
            <w:vAlign w:val="bottom"/>
          </w:tcPr>
          <w:p>
            <w:pPr>
              <w:spacing w:after="0"/>
              <w:rPr>
                <w:sz w:val="22"/>
                <w:szCs w:val="22"/>
                <w:color w:val="auto"/>
              </w:rPr>
            </w:pPr>
          </w:p>
        </w:tc>
        <w:tc>
          <w:tcPr>
            <w:tcW w:w="1820" w:type="dxa"/>
            <w:vAlign w:val="bottom"/>
          </w:tcPr>
          <w:p>
            <w:pPr>
              <w:jc w:val="right"/>
              <w:ind w:right="369"/>
              <w:spacing w:after="0"/>
              <w:rPr>
                <w:sz w:val="20"/>
                <w:szCs w:val="20"/>
                <w:color w:val="auto"/>
              </w:rPr>
            </w:pPr>
            <w:r>
              <w:rPr>
                <w:rFonts w:ascii="Times New Roman" w:cs="Times New Roman" w:eastAsia="Times New Roman" w:hAnsi="Times New Roman"/>
                <w:sz w:val="20"/>
                <w:szCs w:val="20"/>
                <w:b w:val="1"/>
                <w:bCs w:val="1"/>
                <w:color w:val="auto"/>
              </w:rPr>
              <w:t>Cannabist AZ</w:t>
            </w: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41"/>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41"/>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40"/>
        </w:trPr>
        <w:tc>
          <w:tcPr>
            <w:tcW w:w="5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8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55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40"/>
        </w:trPr>
        <w:tc>
          <w:tcPr>
            <w:tcW w:w="5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Goodwill was assigned to both the retail and cultivation (wholesale) segments. The goodwill was primarily attributed to increased synergies that are expected to be achieved from the integration of CC East Virginia and Cannabist AZ. Substantially all of the goodwill is expected to be non-deductible for income tax purposes.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Noah's Ark, LLC</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January 13, 2025, Verano terminated certain of its contracts with Noah's Ark, LLC, an Arkansas limited liability company, and its members. In addition, the Company's subsidiary, Verano El Dorado, LLC, an Arkansas limited liability company, sold real property located in El Dorado, Arkansas. As a result of such transactions, Verano no longer has any commercial agreements or affiliated operational activity related to Arkansas.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disposition resulted in a gain of $4,739 for the nine months ended September 30, 2025 which is classified as a component of Other Income (Expense) in these Unaudited Interim Condensed Consolidated Statement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Acquisition Consideration Payable Adjustments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December 28, 2023, the Company became contractually obligated, upon the completion of certain conditions precedent, to issue $1,250 worth of Subordinate Voting Shares, in the aggregate, as consideration for the acquisition of certain assets from Ivy Hall Mount Holly, LLC. During 2024, 297,225 Subordinate Voting Shares were issued as a portion of such consideration, representing a value of $625. During the three months ended September 30, 2025, the Company made cash payments in the amount of $125 related to the purchase price consideration. During the nine months ended September 30, 2025, the Company made total cash payments in the amount of $583 and issued 297,225 Subordinate Voting Shares related to the purchase price consideration of certain assets from Ivy Hall Mount Holly, LLC. The Company expects to make cash consideration payments of $417, as the final portion of such consideration.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2025 and December 31, 2024, debt consisted of the following:</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18"/>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66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6"/>
        </w:trPr>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294,750</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107,306</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and Equipment Loans</w:t>
            </w: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41"/>
        </w:trPr>
        <w:tc>
          <w:tcPr>
            <w:tcW w:w="66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6"/>
        </w:trPr>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413,849</w:t>
            </w:r>
          </w:p>
        </w:tc>
      </w:tr>
      <w:tr>
        <w:trPr>
          <w:trHeight w:val="40"/>
        </w:trPr>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16"/>
        </w:trPr>
        <w:tc>
          <w:tcPr>
            <w:tcW w:w="6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18,153</w:t>
            </w:r>
          </w:p>
        </w:tc>
      </w:tr>
      <w:tr>
        <w:trPr>
          <w:trHeight w:val="40"/>
        </w:trPr>
        <w:tc>
          <w:tcPr>
            <w:tcW w:w="66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6"/>
        </w:trPr>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7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395,696</w:t>
            </w:r>
          </w:p>
        </w:tc>
      </w:tr>
      <w:tr>
        <w:trPr>
          <w:trHeight w:val="27"/>
        </w:trPr>
        <w:tc>
          <w:tcPr>
            <w:tcW w:w="6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from time-to-time party thereto (collectively, the “Borrowers”), entered into a credit agreement (the “2022 Credit Agreement”) with Chicago Atlantic Admin, LLC (“Chicago Atlantic”), as administrative agent for the lenders, and the lenders from time-to-time party thereto (the “Lenders”), pursuant to which the Lenders advanced the Borrowers a $350,000 senior secured term loan, all of which was used to repay the principal indebtedness outstanding under the Company's previous senior secured term loan credit facility. In connection with such repayment, such previous credit facility was terminated and is no longer in force or effect.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 provided that the Lenders elect to fund such incremental term loan. Beginning in October 2023, the loan required scheduled amortization payments of $350 per month and the remaining principal balance is due in full on October 30, 2026.</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provides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are subject to customary conditions.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 Permitted Partial Optional Prepayment (as defined in the 2022 Credit Agreement) in the amount of $50,000 pursuant to the 2022 Credit Agreement, without any penalty or premium.</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warranties, covenants and customary events of default, including, without limitation, payment defaults, breaches of representations and warranties, covenant defaults, cross-defaults to material indebtedness, and events of bankruptcy and insolvency.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that are not otherwise permitted,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 Company was in compliance with such covenants.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Revolver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September 30, 2025, the Company entered into a credit agreement (the “Revolver”), by and among the Company, as a guarantor, certain subsidiaries of the Company from time-to-time party thereto as borrowers (the “Real Estate Subsidiaries”), lenders from time-to-time party thereto, and Chicago Atlantic, as administrative agent for the Lenders.</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The Revolver provides for a $75,000 revolving loan facility, $50,000 of which was drawn on September 30, 2025 and used to prepay, without any penalty or premium, $50,000 of outstanding obligations due under the 2022 Credit Agreement. Amounts drawn under the Revolver do not require amortization payments and all outstanding amounts are due in full on September 29, 2028.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$2,209 in connection with the establishment of the Revolver. In accordance with ASC 835-30 </w:t>
      </w:r>
      <w:r>
        <w:rPr>
          <w:rFonts w:ascii="Times New Roman" w:cs="Times New Roman" w:eastAsia="Times New Roman" w:hAnsi="Times New Roman"/>
          <w:sz w:val="18"/>
          <w:szCs w:val="18"/>
          <w:i w:val="1"/>
          <w:iCs w:val="1"/>
          <w:color w:val="auto"/>
        </w:rPr>
        <w:t>Interest-imputation of interest</w:t>
      </w:r>
      <w:r>
        <w:rPr>
          <w:rFonts w:ascii="Times New Roman" w:cs="Times New Roman" w:eastAsia="Times New Roman" w:hAnsi="Times New Roman"/>
          <w:sz w:val="18"/>
          <w:szCs w:val="18"/>
          <w:color w:val="auto"/>
        </w:rPr>
        <w:t xml:space="preserve"> (“ASC 835-30”), these costs are presented on the Condensed Consolidated Balance Sheet as a direct deduction from the carrying amount of the related debt liability. The debt issuance costs are amortized over the contractual term of the Revolver using the effective interest method. Amortization expense related to these costs is included in Interest Expense in the accompanying Unaudited Interim Condensed Consolidated Statements of Operations.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shall be subject to a six-month interest make whole. Any amounts prepaid may be redrawn subject to the same requirements set forth above. The Revolver is subject to a borrowing base which requires the outstanding principal balance under the Revolver to be equal to or less than 60% of the appraised value, net of certain indebtedness, of the owned real estate serving as collateral for the Revolver from time to time.</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consistent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covenants and customary events of default, including, without limitation, payment defaults, breaches of representations and warranties, covenant defaults, cross-defaults to material indebtedness, and events of bankruptcy and insolvency.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Revolver also includes customary negative covenants, including, without limitation, limiting the Real Estate Subsidiaries’ ability to (a) incur additional indebtedness, make guarantees and grant liens that are otherwise not permitted and (b) enter into or consummate acquisitions or dispositions that are not otherwise permitted, among others.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Columbia Care Eastern Virginia LLC</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29, 2024, the Company entered into the Virginia EPA to purchase all of the issued and outstanding equity interests of CC East Virginia. The transaction closed on August 21, 2024. Pursuant to the Virginia EPA, the Company issued the CC East Virginia Promissory Note in the amount of $26,700, which was amended to $27,852 on May 27, 2025 in connection with a purchase price adjustment. The CC East Virginia Promissory Note has an estimated fair value of $26,068, and bears interest at a rate of 7% per annum beginning on the closing date, through maturity on the two-year anniversary of the closing date. Subsequently, on May 27, 2025, the Company entered into a waiver and partial payoff agreement related to a portion of the CC East Virginia Promissory Note. During the nine months ended September 30, 2025, the Company partially extinguished the CC East Virginia Promissory Note.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Mortgage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March 14, 2025, the Company entered into a loan with Rainbow Realty Group IV, LLC to borrow a principal amount of $12,000 secured by real estate in Coolidge, Arizona and North Las Vegas, Nevada. The loan bears an interest rate of 11% per annum and matures in March 2030.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Subordinate Voting Shares and Proportionate Voting Shares are classified as equity. Incremental costs directly attributable to the issuance of shares are recognized as a deduction from equity. The proceeds from the exercise of stock options or warrants, if applicable, together with amounts previously recorded in reserves over the vesting periods are recorded as share capital. Income tax relating to transaction costs of an equity transaction is accounted for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Issued and Outstanding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361,815,879 Subordinate Voting Shares issued and outstanding and no Proportionate Voting Shares outstanding. The Company has the following two classes of share capital, with each class having no par value: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  Subordinate Voting Shares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holders of the Subordinate Voting Shares are entitled to receive dividends issued by the Company and one vote per share at shareholder meetings of the Company. All Subordinate Voting Shares are ranked equally regarding the Company’s residual assets. The Company is authorized to issue an unlimited number of Subordinate Voting Shares.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 Proportionate Voting Shares</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Each Proportionate Voting Share is convertible into 100 Subordinate Voting Shares. The holders of the Proportionate Voting Share are entitled to receive dividends issued by the Company on an as converted to Subordinate Voting Share basis and 100 votes per share at shareholder meetings of the Company. The Proportionate Voting Shares are ranked equally on an as converted to Subordinate Voting Share basis regarding the Company's residual assets. The Company is authorized to issue an unlimited number of Proportionate Voting Shares.</w:t>
      </w:r>
    </w:p>
    <w:p>
      <w:pPr>
        <w:spacing w:after="0" w:line="179"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2021, the Company established the Verano Holdings Corp. Stock and Incentive Plan (the “Plan”), which provides for stock-based remuneration for its eligible directors, officers, employees, consultants, and advisors. The maximum number of RSUs, options and other stock-based awards that may be issued under the Plan cannot exceed 10% of the Company’s then issued and outstanding share capital, determined on an as converted to Subordinate Voting Shares basis. In addition, in March 2024, the Company adopted the Long-Term Cash Incentive Plan, which provides for cash-based remuneration to eligible service providers of the Company. All goods and services received in exchange for the grant of any stock-based or cash-based awards are measured at their fair value. Equity-settled stock-based payments under stock-based payment plans are ultimately recognized as an expense in profit or loss with a corresponding credit to equity.</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Estimates are subsequently revised if there is any indication that the number of shares or amount of cash expected to vest differs from the previous estimate. Any cumulative adjustment prior to vesting is recognized in the current period with no adjustment to prior periods for expense previously recognized.</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 and RSU grants generally vest in installments over 12 to 36 months and options typically have a life of ten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CAPITAL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had 31,759 fully vested and exercisable options, entitling the holder thereof to one Subordinate Voting Share per each option upon exercise, with a weighted average exercise price of C$30.13 and a weighted average remaining contractual life of 4.05 years as of September 30, 2025.</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No fully vested options, entitling the holder thereof to one Subordinate Voting Share per each option upon exercise, were cancelled during the nine months ended September 30, 2025. No options were granted or forfeited during the nine months ended September 30, 2025. As of September 30, 2025 and December 31, 2024, there were no in-the-money options.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unvested RSU awards as of September 30, 2025 and December 31, 2024 and the changes during the nine months ended September 30, 2025:</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Avg.</w:t>
            </w:r>
          </w:p>
        </w:tc>
      </w:tr>
      <w:tr>
        <w:trPr>
          <w:trHeight w:val="230"/>
        </w:trPr>
        <w:tc>
          <w:tcPr>
            <w:tcW w:w="6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0"/>
        </w:trPr>
        <w:tc>
          <w:tcPr>
            <w:tcW w:w="6980" w:type="dxa"/>
            <w:vAlign w:val="bottom"/>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40"/>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6,302,987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1,819,053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40"/>
        </w:trPr>
        <w:tc>
          <w:tcPr>
            <w:tcW w:w="6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709,103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2,618,205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40"/>
        </w:trPr>
        <w:tc>
          <w:tcPr>
            <w:tcW w:w="69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RSUs at September 30,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4,794,732</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40"/>
        </w:trPr>
        <w:tc>
          <w:tcPr>
            <w:tcW w:w="6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stock-based compensation expense for the three and nine months ended September 30, 2025 and 2024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1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3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40"/>
        </w:trPr>
        <w:tc>
          <w:tcPr>
            <w:tcW w:w="6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37"/>
        </w:trPr>
        <w:tc>
          <w:tcPr>
            <w:tcW w:w="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r>
      <w:tr>
        <w:trPr>
          <w:trHeight w:val="40"/>
        </w:trPr>
        <w:tc>
          <w:tcPr>
            <w:tcW w:w="660" w:type="dxa"/>
            <w:vAlign w:val="bottom"/>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57"/>
        </w:trPr>
        <w:tc>
          <w:tcPr>
            <w:tcW w:w="660" w:type="dxa"/>
            <w:vAlign w:val="bottom"/>
          </w:tcPr>
          <w:p>
            <w:pPr>
              <w:spacing w:after="0"/>
              <w:rPr>
                <w:sz w:val="22"/>
                <w:szCs w:val="22"/>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2"/>
                <w:szCs w:val="22"/>
                <w:color w:val="auto"/>
              </w:rPr>
            </w:pPr>
          </w:p>
        </w:tc>
      </w:tr>
      <w:tr>
        <w:trPr>
          <w:trHeight w:val="243"/>
        </w:trPr>
        <w:tc>
          <w:tcPr>
            <w:tcW w:w="660" w:type="dxa"/>
            <w:vAlign w:val="bottom"/>
          </w:tcPr>
          <w:p>
            <w:pPr>
              <w:spacing w:after="0"/>
              <w:rPr>
                <w:sz w:val="21"/>
                <w:szCs w:val="21"/>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760" w:type="dxa"/>
            <w:vAlign w:val="bottom"/>
          </w:tcPr>
          <w:p>
            <w:pPr>
              <w:spacing w:after="0"/>
              <w:rPr>
                <w:sz w:val="21"/>
                <w:szCs w:val="21"/>
                <w:color w:val="auto"/>
              </w:rPr>
            </w:pPr>
          </w:p>
        </w:tc>
      </w:tr>
      <w:tr>
        <w:trPr>
          <w:trHeight w:val="40"/>
        </w:trPr>
        <w:tc>
          <w:tcPr>
            <w:tcW w:w="660" w:type="dxa"/>
            <w:vAlign w:val="bottom"/>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95"/>
        </w:trPr>
        <w:tc>
          <w:tcPr>
            <w:tcW w:w="660" w:type="dxa"/>
            <w:vAlign w:val="bottom"/>
          </w:tcPr>
          <w:p>
            <w:pPr>
              <w:spacing w:after="0"/>
              <w:rPr>
                <w:sz w:val="24"/>
                <w:szCs w:val="24"/>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7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8"/>
        </w:trPr>
        <w:tc>
          <w:tcPr>
            <w:tcW w:w="660" w:type="dxa"/>
            <w:vAlign w:val="bottom"/>
            <w:tcBorders>
              <w:bottom w:val="single" w:sz="8" w:color="9A9A9A"/>
            </w:tcBorders>
          </w:tcPr>
          <w:p>
            <w:pPr>
              <w:spacing w:after="0"/>
              <w:rPr>
                <w:sz w:val="11"/>
                <w:szCs w:val="11"/>
                <w:color w:val="auto"/>
              </w:rPr>
            </w:pPr>
          </w:p>
        </w:tc>
        <w:tc>
          <w:tcPr>
            <w:tcW w:w="37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income tax expense and effective tax rates for the three and nine months ended September 30, 2025 and 2024:</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40"/>
        </w:trPr>
        <w:tc>
          <w:tcPr>
            <w:tcW w:w="37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1"/>
        </w:trPr>
        <w:tc>
          <w:tcPr>
            <w:tcW w:w="3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(15,391)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18,332</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(28,441)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(80,942)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(87,485)</w:t>
            </w:r>
          </w:p>
        </w:tc>
      </w:tr>
      <w:tr>
        <w:trPr>
          <w:trHeight w:val="40"/>
        </w:trPr>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1,562 %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1,256 %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r>
      <w:tr>
        <w:trPr>
          <w:trHeight w:val="40"/>
        </w:trPr>
        <w:tc>
          <w:tcPr>
            <w:tcW w:w="3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2025 and 2024 were based on the Company’s forecasted annualized effective tax rates and were adjusted for discrete items that occurred within the periods presented. Net discrete tax items of $7,889 and $9,927 were recorded during the three months ended September 30, 2025 and 2024, respectively. Net discrete tax items of $21,523 and $18,623 were recorded during the nine months ended September 30, 2025 and 2024, respectively. Discrete items recorded during the three and nine months ended September 30, 2025 and 2024 primarily relate to penalties and interest on unpaid tax liabilities, impacts of prior period and return to provision adjustments, and remeasurement of deferred taxes for state tax rate changes.</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U.S. Internal Revenue Service has taken the position that cannabis companies are subject to the limits of Section 280E of the U.S. Internal Revenue Code of 1986, as amended (the “Code”) for U.S. federal income tax purposes, under which, they are only allowed to deduct expenses directly related to costs of goods sold. The Company has taken a position that its deduction of ordinary and necessary business expenses is not limited by Section 280E of the Code.</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an uncertain tax liability in uncertain tax positions on the Consolidated Balance Sheet for tax positions taken based on legal interpretations that challenge the Company's tax liability under Section 280E of the Code.</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makes key elements of the Tax Cuts and Jobs Act of 2017 permanent, including 100% bonus depreciation, domestic research cost expensing, and the business interest expense limitation. The impacts to the Company associated with the OBBBA were related to bonus depreciation and the Section 163(j) limitation and the Company has applied the related impacts to the tax provision in the period of enactment. The Company continues to expect impacts from the OBBBA related to the estimated annual effective tax rate and cash tax position for the year ending December 31, 2025.</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Taxes paid during the nine months ended September 30, 2025 and 2024 were $69,666 and $74,026, respectively. Taxes paid of $69,666 during the nine months ended September 30, 2025, excludes $3,940 of refunds for which a full unrecognized tax liability has been recorded on the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some of its retail dispensaries and processing and production facilities located throughout the U.S., as well as for its corporate offices located in Chicago, Illinois. Operating lease right-of-use assets and operating lease liabilities are recognized based on the present value of future minimum lease payments over the lease term at commencement date.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Company's balance sheet. Certain leases require payments for taxes, insurance, and maintenance, and are considered non-lease components. The Company accounts for non-lease components separately.</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The Company must consider whether the contract conveys the right to control the use of an identified asset.</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leases certain business facilities from third parties under non-cancellable operating lease agreements that contain minimum rental provisions that expire through 2037. Some leases also contain renewal provisions and provide for rent abatement and escalating payments.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recorded approximately $5,702 and $5,210 in operating lease expense, respectively, of which $317 and $198 was included in cost of goods sold for the same periods, respectively. During the nine months ended September 30, 2025 and 2024, the Company recorded approximately $17,112 and $15,122 in operating lease expense, respectively, of which $951 and $426 was included in cost of goods sold for the same periods,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operating leases as of and for the periods ended September 30, 2025 and December 31, 2024, were as follows: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60" w:type="dxa"/>
            <w:vAlign w:val="bottom"/>
          </w:tcPr>
          <w:p>
            <w:pPr>
              <w:spacing w:after="0"/>
              <w:rPr>
                <w:sz w:val="20"/>
                <w:szCs w:val="20"/>
                <w:color w:val="auto"/>
              </w:rPr>
            </w:pPr>
          </w:p>
        </w:tc>
        <w:tc>
          <w:tcPr>
            <w:tcW w:w="3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39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3620" w:type="dxa"/>
            <w:vAlign w:val="bottom"/>
            <w:tcBorders>
              <w:bottom w:val="single" w:sz="8" w:color="CCEEFF"/>
            </w:tcBorders>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8.08</w:t>
            </w: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10.48 %</w:t>
            </w: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10.28 %</w:t>
            </w:r>
          </w:p>
        </w:tc>
      </w:tr>
      <w:tr>
        <w:trPr>
          <w:trHeight w:val="567"/>
        </w:trPr>
        <w:tc>
          <w:tcPr>
            <w:tcW w:w="7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Maturities of lease liabilities for operating leases as of September 30, 2025 were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86"/>
        </w:trPr>
        <w:tc>
          <w:tcPr>
            <w:tcW w:w="3960" w:type="dxa"/>
            <w:vAlign w:val="bottom"/>
          </w:tcPr>
          <w:p>
            <w:pPr>
              <w:spacing w:after="0"/>
              <w:rPr>
                <w:sz w:val="24"/>
                <w:szCs w:val="24"/>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Maturities of Lease Liability</w:t>
            </w:r>
          </w:p>
        </w:tc>
      </w:tr>
      <w:tr>
        <w:trPr>
          <w:trHeight w:val="40"/>
        </w:trPr>
        <w:tc>
          <w:tcPr>
            <w:tcW w:w="396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39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 (Remaining) $</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43"/>
        </w:trPr>
        <w:tc>
          <w:tcPr>
            <w:tcW w:w="3960" w:type="dxa"/>
            <w:vAlign w:val="bottom"/>
          </w:tcPr>
          <w:p>
            <w:pPr>
              <w:spacing w:after="0"/>
              <w:rPr>
                <w:sz w:val="21"/>
                <w:szCs w:val="21"/>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21,661</w:t>
            </w:r>
          </w:p>
        </w:tc>
      </w:tr>
      <w:tr>
        <w:trPr>
          <w:trHeight w:val="40"/>
        </w:trPr>
        <w:tc>
          <w:tcPr>
            <w:tcW w:w="396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3"/>
        </w:trPr>
        <w:tc>
          <w:tcPr>
            <w:tcW w:w="39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r>
      <w:tr>
        <w:trPr>
          <w:trHeight w:val="243"/>
        </w:trPr>
        <w:tc>
          <w:tcPr>
            <w:tcW w:w="3960" w:type="dxa"/>
            <w:vAlign w:val="bottom"/>
          </w:tcPr>
          <w:p>
            <w:pPr>
              <w:spacing w:after="0"/>
              <w:rPr>
                <w:sz w:val="21"/>
                <w:szCs w:val="21"/>
                <w:color w:val="auto"/>
              </w:rPr>
            </w:pP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20,274</w:t>
            </w:r>
          </w:p>
        </w:tc>
      </w:tr>
      <w:tr>
        <w:trPr>
          <w:trHeight w:val="40"/>
        </w:trPr>
        <w:tc>
          <w:tcPr>
            <w:tcW w:w="396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Pr>
          <w:p>
            <w:pPr>
              <w:spacing w:after="0"/>
              <w:rPr>
                <w:sz w:val="3"/>
                <w:szCs w:val="3"/>
                <w:color w:val="auto"/>
              </w:rPr>
            </w:pPr>
          </w:p>
        </w:tc>
      </w:tr>
      <w:tr>
        <w:trPr>
          <w:trHeight w:val="263"/>
        </w:trPr>
        <w:tc>
          <w:tcPr>
            <w:tcW w:w="39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w:t>
            </w:r>
          </w:p>
        </w:tc>
      </w:tr>
      <w:tr>
        <w:trPr>
          <w:trHeight w:val="243"/>
        </w:trPr>
        <w:tc>
          <w:tcPr>
            <w:tcW w:w="3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69,750</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43"/>
        </w:trPr>
        <w:tc>
          <w:tcPr>
            <w:tcW w:w="3960" w:type="dxa"/>
            <w:vAlign w:val="bottom"/>
          </w:tcPr>
          <w:p>
            <w:pPr>
              <w:spacing w:after="0"/>
              <w:rPr>
                <w:sz w:val="21"/>
                <w:szCs w:val="21"/>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157,379</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43"/>
        </w:trPr>
        <w:tc>
          <w:tcPr>
            <w:tcW w:w="3960" w:type="dxa"/>
            <w:vAlign w:val="bottom"/>
          </w:tcPr>
          <w:p>
            <w:pPr>
              <w:spacing w:after="0"/>
              <w:rPr>
                <w:sz w:val="21"/>
                <w:szCs w:val="21"/>
                <w:color w:val="auto"/>
              </w:rPr>
            </w:pPr>
          </w:p>
        </w:tc>
        <w:tc>
          <w:tcPr>
            <w:tcW w:w="3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(52,768)</w:t>
            </w:r>
          </w:p>
        </w:tc>
      </w:tr>
      <w:tr>
        <w:trPr>
          <w:trHeight w:val="40"/>
        </w:trPr>
        <w:tc>
          <w:tcPr>
            <w:tcW w:w="3960" w:type="dxa"/>
            <w:vAlign w:val="bottom"/>
            <w:tcBorders>
              <w:bottom w:val="single" w:sz="8" w:color="CCEEFF"/>
            </w:tcBorders>
          </w:tcPr>
          <w:p>
            <w:pPr>
              <w:spacing w:after="0"/>
              <w:rPr>
                <w:sz w:val="3"/>
                <w:szCs w:val="3"/>
                <w:color w:val="auto"/>
              </w:rPr>
            </w:pPr>
          </w:p>
        </w:tc>
        <w:tc>
          <w:tcPr>
            <w:tcW w:w="304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0"/>
        </w:trPr>
        <w:tc>
          <w:tcPr>
            <w:tcW w:w="39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77"/>
        </w:trPr>
        <w:tc>
          <w:tcPr>
            <w:tcW w:w="3960" w:type="dxa"/>
            <w:vAlign w:val="bottom"/>
          </w:tcPr>
          <w:p>
            <w:pPr>
              <w:spacing w:after="0"/>
              <w:rPr>
                <w:sz w:val="24"/>
                <w:szCs w:val="24"/>
                <w:color w:val="auto"/>
              </w:rPr>
            </w:pPr>
          </w:p>
        </w:tc>
        <w:tc>
          <w:tcPr>
            <w:tcW w:w="3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Present Value of Lease Liability </w:t>
            </w: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104,611</w:t>
            </w:r>
          </w:p>
        </w:tc>
      </w:tr>
      <w:tr>
        <w:trPr>
          <w:trHeight w:val="27"/>
        </w:trPr>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1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OTHER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From time to time, the Company may be involved in litigation relating to claims arising out of operations in the normal course of business. As of September 30, 2025, other than as set forth below, there were no pending or threatened lawsuits that could reasonably be expected to have a material effect on the results of the Company’s consolidated operations. There are no proceedings in which the Company is a party and any of the Company’s directors, officers or affiliates is an adverse party or has a material interest adverse to the Company’s interest. The Company accrues loss contingencies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if, in the opinion of management and its legal counsel, the risk of loss is probable and the amount can be reasonably estimated.</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Vireo Litigation</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31, 2022, the Company entered into an Arrangement Agreement (the “GGH Arrangement Agreement”) with Vireo Growth Inc., formerly known as Goodness Growth Holdings, Inc. (“GGH”), pursuant to which it agreed to acquire all of the issued and outstanding equity interests of GGH in exchange for equity interests in the Company, subject to the terms and conditions set forth in the GGH Arrangement Agreement. On October 13, 2022, the Company provided written notice to GGH of GGH’s breach of the GGH Arrangement Agreement and exercised the Company’s termination rights under the GGH Arrangement Agreement. On October 21, 2022, GGH filed suit against the Company in the Supreme Court of British Columbia alleging that the Company breached (i) the GGH Arrangement Agreement through, among other things, the purported wrongful repudiation of the GGH Arrangement Agreement, (ii) the duty of good faith, and (iii) the duty of honest performance in contract. In addition, on November 14, 2022, the Company filed a counterclaim asserting that GGH owes it a termination fee in the amount of $14,875, or alternatively, the reimbursement of out-of-pocket fees and expenses of up to $3,000 as a result of our termination of the GGH Arrangement Agreement, which was based upon our belief that GGH breached covenants and representations in the GGH Arrangement Agreement and the occurrence of other termination events. GGH filed a response to such counterclaim on December 7, 2022, in which GGH denied it was obligated to pay any termination fee or transaction expenses.</w:t>
      </w:r>
    </w:p>
    <w:p>
      <w:pPr>
        <w:spacing w:after="0" w:line="216" w:lineRule="exact"/>
        <w:rPr>
          <w:rFonts w:ascii="Times New Roman" w:cs="Times New Roman" w:eastAsia="Times New Roman" w:hAnsi="Times New Roman"/>
          <w:sz w:val="18"/>
          <w:szCs w:val="18"/>
          <w:b w:val="1"/>
          <w:bCs w:val="1"/>
          <w:color w:val="auto"/>
        </w:rPr>
      </w:pPr>
    </w:p>
    <w:p>
      <w:pPr>
        <w:jc w:val="both"/>
        <w:ind w:left="660"/>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On May 2, 2024, GGH filed an application with the Supreme Court of British Columbia seeking an order granting summary trial in the ongoing litigation between the Company and GGH regarding the GGH Arrangement Agreement. In the application, GGH stated it is seeking $860,900 in damages, plus costs and interest (the “GGH Application for Summary Trial”). On June 19, 2024, the Company filed an application in response seeking: (i) dismissal of the GGH Application for Summary Trial on the grounds that the issues raised by it are not suitable for disposition by summary trial and will not assist the efficient resolution of the proceeding; and (ii) an order that the report on damages filed by GGH in support of the GGH Application for Summary Trial is inadmissible and shall be excluded from evidence in the trial, or any summary trial, of this matter. On September 17, 2024, the Company filed an amended response and counterclaim with the Supreme Court of British Columbia, primarily in response to communications disclosed by GGH during the discovery process. As of and for the three months ended September 30, 2025, and further noted in </w:t>
      </w:r>
      <w:r>
        <w:rPr>
          <w:rFonts w:ascii="Times New Roman" w:cs="Times New Roman" w:eastAsia="Times New Roman" w:hAnsi="Times New Roman"/>
          <w:sz w:val="18"/>
          <w:szCs w:val="18"/>
          <w:i w:val="1"/>
          <w:iCs w:val="1"/>
          <w:color w:val="auto"/>
        </w:rPr>
        <w:t>Note 17 – Subsequent Events</w:t>
      </w:r>
      <w:r>
        <w:rPr>
          <w:rFonts w:ascii="Times New Roman" w:cs="Times New Roman" w:eastAsia="Times New Roman" w:hAnsi="Times New Roman"/>
          <w:sz w:val="18"/>
          <w:szCs w:val="18"/>
          <w:color w:val="auto"/>
        </w:rPr>
        <w:t>, the Company recorded a loss contingency of $10,000 in connection with the settlement of the GGH litigation outlined above. The Company recorded the loss contingency to other income (expense), net in the Unaudited Interim Condensed Consolidated Statements of Operations and under accrued liabilities in the Condensed Consolidated Balance Sheets for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-5169535</wp:posOffset>
            </wp:positionV>
            <wp:extent cx="70034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AND OTHER </w:t>
      </w:r>
      <w:r>
        <w:rPr>
          <w:rFonts w:ascii="Times New Roman" w:cs="Times New Roman" w:eastAsia="Times New Roman" w:hAnsi="Times New Roman"/>
          <w:sz w:val="18"/>
          <w:szCs w:val="18"/>
          <w:i w:val="1"/>
          <w:iCs w:val="1"/>
          <w:color w:val="auto"/>
        </w:rPr>
        <w:t>(Continued)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70"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Illegality of Cannabis at the U.S. Federal Level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Verano operates within states where cannabis use, medical or adult use or both, has been approved by state and local regulatory bodies. Notwithstanding the permissive regulatory environment of medical, and in some cases also adult use cannabis at the state level, under U.S. federal law cannabis (other than hemp) is a Schedule I controlled substance under the Controlled Substances Act (21 U.S.C. § 811) (the “Controlled Substances Act”) which means it is viewed by the U.S. federal government as a drug that has a high potential for abuse and no therapeutic value. Therefore, even in states or territories that have legalized cannabis to some extent, the cultivation, processing, distribution, possession and sale of cannabis violates the Controlled Substances Act. Moreover, individuals and entities may violate U.S. federal law if they aid and abet another in violating the Controlled Substances Act or conspire with another to violate the law. Violating the Controlled Substances Act is also a predicate for other crimes, including money laundering laws and the Racketeer Influenced and Corrupt Organizations Act. 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civil forfeiture or divestiture.</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Strict compliance with state and local laws with respect to cannabis may neither absolve the Company of liability under U.S. federal law, nor may it provide a defense to any federal proceeding which may be brought against the Company. This could have a material adverse effect on the Company, including its reputation and ability to conduct business, its cannabis licenses in the U.S., the listing and trading of its securities on stock exchanges and platforms, its financial position, operating results, profitability, liquidity and the market price of its publicly traded shares. In addition, it is difficult for the Company to estimate the time or resources that would be needed for the investigation of any such matters or its final resolution because, in part, the time and resources that may be needed are dependent on the nature and extent of any information requested by the applicable authorities involved, and such time and resources could be substantial.</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can be no assurance that the comprehensive U.S. federal legislation that would de-schedule and de-criminalize cannabis will be passed in the near future or at all. If such legislation is passed, there is no guarantee that it will include provisions that preserve the current state-based cannabis programs under which the Company operates or that such legislation will otherwise be favorable to the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-3844925</wp:posOffset>
            </wp:positionV>
            <wp:extent cx="7003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conducts and manages its business through two reportable segments, representing the major lines of its cannabis business: cultivation (wholesale) and retail. The cultivation (wholesale) segment consists of the cultivation, production and sale of cannabis products to retail stores. The retail segment consists of the retailing of cannabis to patients and consumers.</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accounting policies used in the segment reporting are the same as those described in Note 2 - Significant Accounting Policies within the 2024 Annual Audited Financials on Form 10-K. The Company’s Chief Operating Decision Maker (“CODM”) is the Chief Executive Officer. The CODM utilizes each segment’s Adjusted EBITDA as the key indicator in assessing the segment’s performance and allocating resources. Segment-level Adjusted EBITDA includes intersegment revenues which consist primarily of sales of finished goods product from the wholesale (cultivation) to retail segment. Intersegment transactions are eliminated in consolidation. The elimination of such intersegment transactions is included in All Other in the table below. Additionally, we do not allocate certain shared expenses such as accounting, human resources, certain information technology and legal to our reportable segments. We include these expenses in All Other in the table below. The All Other column in the table below also includes unallocated corporate functions and expenses. Certain prior year line items have been adjusted and our allocation methodology is periodically evaluated and may change.</w:t>
      </w:r>
    </w:p>
    <w:p>
      <w:pPr>
        <w:spacing w:after="0" w:line="18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Within the tables below the Other Segment Items for each segment primarily consists of certain selling, general, and administrative expenses and other operational costs. Summarized financial information for the Company's reportable segments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80" w:type="dxa"/>
            <w:vAlign w:val="bottom"/>
            <w:gridSpan w:val="11"/>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81,951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(43,603)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(58,886)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43,606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(107,573)</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11,735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(26,894)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34,800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(26,891)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6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6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60" w:type="dxa"/>
            <w:vAlign w:val="bottom"/>
            <w:tcBorders>
              <w:bottom w:val="single" w:sz="8" w:color="9A9A9A"/>
            </w:tcBorders>
          </w:tcPr>
          <w:p>
            <w:pPr>
              <w:spacing w:after="0"/>
              <w:rPr>
                <w:sz w:val="11"/>
                <w:szCs w:val="11"/>
                <w:color w:val="auto"/>
              </w:rPr>
            </w:pPr>
          </w:p>
        </w:tc>
        <w:tc>
          <w:tcPr>
            <w:tcW w:w="48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340" w:hanging="314"/>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10"/>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r>
      <w:tr>
        <w:trPr>
          <w:trHeight w:val="41"/>
        </w:trPr>
        <w:tc>
          <w:tcPr>
            <w:tcW w:w="48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90,451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(38,056)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216,683</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(53,267)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6"/>
              </w:rPr>
              <w:t>37,002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(107,586)</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12,878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(28,515)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(44,639)</w:t>
            </w:r>
          </w:p>
        </w:tc>
      </w:tr>
      <w:tr>
        <w:trPr>
          <w:trHeight w:val="23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50,062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(29,569)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64,458</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r>
      <w:tr>
        <w:trPr>
          <w:trHeight w:val="41"/>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w:t>
            </w:r>
          </w:p>
        </w:tc>
      </w:tr>
      <w:tr>
        <w:trPr>
          <w:trHeight w:val="40"/>
        </w:trPr>
        <w:tc>
          <w:tcPr>
            <w:tcW w:w="4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(36,865)</w:t>
            </w:r>
          </w:p>
        </w:tc>
      </w:tr>
      <w:tr>
        <w:trPr>
          <w:trHeight w:val="27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10"/>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r>
      <w:tr>
        <w:trPr>
          <w:trHeight w:val="40"/>
        </w:trPr>
        <w:tc>
          <w:tcPr>
            <w:tcW w:w="4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614,891</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(307,089)</w:t>
            </w:r>
          </w:p>
        </w:tc>
      </w:tr>
      <w:tr>
        <w:trPr>
          <w:trHeight w:val="40"/>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(134,142)</w:t>
            </w: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144,365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173,660</w:t>
            </w:r>
          </w:p>
        </w:tc>
      </w:tr>
      <w:tr>
        <w:trPr>
          <w:trHeight w:val="40"/>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r>
      <w:tr>
        <w:trPr>
          <w:trHeight w:val="40"/>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(40,981)</w:t>
            </w:r>
          </w:p>
        </w:tc>
      </w:tr>
      <w:tr>
        <w:trPr>
          <w:trHeight w:val="40"/>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r>
      <w:tr>
        <w:trPr>
          <w:trHeight w:val="27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10"/>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r>
      <w:tr>
        <w:trPr>
          <w:trHeight w:val="40"/>
        </w:trPr>
        <w:tc>
          <w:tcPr>
            <w:tcW w:w="4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7"/>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8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269,042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660,379</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(323,982)</w:t>
            </w:r>
          </w:p>
        </w:tc>
      </w:tr>
      <w:tr>
        <w:trPr>
          <w:trHeight w:val="40"/>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(134,793)</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152,842</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201,604</w:t>
            </w:r>
          </w:p>
        </w:tc>
      </w:tr>
      <w:tr>
        <w:trPr>
          <w:trHeight w:val="40"/>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Adjustments and 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Costs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r>
      <w:tr>
        <w:trPr>
          <w:trHeight w:val="41"/>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(42,122)</w:t>
            </w:r>
          </w:p>
        </w:tc>
      </w:tr>
      <w:tr>
        <w:trPr>
          <w:trHeight w:val="40"/>
        </w:trPr>
        <w:tc>
          <w:tcPr>
            <w:tcW w:w="4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4"/>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w:t>
            </w:r>
          </w:p>
        </w:tc>
      </w:tr>
      <w:tr>
        <w:trPr>
          <w:trHeight w:val="27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18,332</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60"/>
          </w:cols>
          <w:pgMar w:left="320" w:top="297" w:right="13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297" w:right="1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LOYALTY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customer loyalty programs where retail customers accumulate points for each dollar of spending, net of tax. These points are recorded as a contractual liability until customers redeem their points for discounts on eligible products as part of an in-store sales transaction. In addition, the Company records a performance obligation as a reduction of revenue based on the estimated probability of point obligation incurred.</w:t>
      </w:r>
    </w:p>
    <w:p>
      <w:pPr>
        <w:spacing w:after="0" w:line="17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The Company's loyalty programs have a calculated standalone selling price that ranges between $0.03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$0.06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per loyalty point. Upon redemption, the loyalty program obligation is relieved, and the offset is recorded as revenue. The Company estimates that 20% of points will not be redeemed (breakage) prior to their six-month expiration dates. The Company continues to evaluate breakage and redemption values to determine the standalone selling price.</w:t>
      </w:r>
    </w:p>
    <w:p>
      <w:pPr>
        <w:spacing w:after="0" w:line="198"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18"/>
          <w:szCs w:val="18"/>
          <w:color w:val="auto"/>
        </w:rPr>
        <w:t>As of September 30, 2025, there were approximately 179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$7,088. As of December 31, 2024, there were approximately 150 million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points outstanding with an approximate value of $7,449. Such balances are included in Accrued Liabilities on the Company's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627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6" w:lineRule="exact"/>
        <w:rPr>
          <w:sz w:val="20"/>
          <w:szCs w:val="20"/>
          <w:color w:val="auto"/>
        </w:rPr>
      </w:pPr>
    </w:p>
    <w:p>
      <w:pPr>
        <w:ind w:left="120" w:hanging="94"/>
        <w:spacing w:after="0"/>
        <w:tabs>
          <w:tab w:leader="none" w:pos="1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Such amount not 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810, the Company consolidates through the variable interest entity (“VIE”) model. The following table presents the summarized financial information about the Company’s consolidated VIEs, which are included in the Company's Condensed Consolidated Balance Sheets as of September 30, 2025 and December 31, 2024.</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8"/>
                <w:szCs w:val="18"/>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60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7"/>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r>
      <w:tr>
        <w:trPr>
          <w:trHeight w:val="41"/>
        </w:trPr>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31,492</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w:t>
            </w:r>
          </w:p>
        </w:tc>
      </w:tr>
      <w:tr>
        <w:trPr>
          <w:trHeight w:val="41"/>
        </w:trPr>
        <w:tc>
          <w:tcPr>
            <w:tcW w:w="6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6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attributable to Verano Holdings Corp.</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Consolidated VIEs occur when (a) the Company closes an acquisition while the state has not finalized the transfer of the cannabis license or (b) the Company owns an equity interest in a joint venture, which it exercises control over.</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Consolidation occurs on the effective date of the purchase agreement, or in the case of joint venture VIEs, on the effective date of a limited liability company agreement governing the applicable joint venture, and a management service agreement (an “MSA”). The MSA grants the management company, Verano, the ability to make business operating decisions, manage and staff employees, determine product mix, and the authority to direct allocation of cash. The MSA or the limited liability company agreement also allows Verano to limit distributions of the entity at Verano’s discretion. Certain states may limit the distribution or transfer of cash until license transfer.</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financing arrangements with certain VIEs to provide funding for potential capital expenditures including, but not limited to, the construction of dispensaries and other facilities.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applies ASC 810-10-15 to determine control of the legal entity. With respect to VIEs acquired via acquisition, the purchase agreements limit the sellers involvement in future operations, and their risks of loss. With respect to joint venture VIEs, the limited liability company agreements limit the partners’ involvement in future operations and control over financial decisions, including distributions. In addition, Verano enters into an MSA with the legal entity that grants the Company strategic decision-making ability of the business operations.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involved in all qualitative and quantitative aspects of each consolidated VIE, such as but not limited to, software choices, procurement, staffing and payroll, advertising, and use of cash flow. With respect to VIEs acquired via acquisition, the Company absorbs all risk of loss and receives expected future returns based on the purchase agreement and MSA, resulting in Verano being the primary beneficiary.</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Verano does not fully own all entities consolidated under ASC 810 and records a non-controlling interest for such non-owned portion in the Unaudited Interim Condensed Consolidated Financial Statements. The income of less-than-wholly owned entities is attributed to non-controlling interest and Verano based on the contractual arrangements between the other interest holders and Verano, or, in the absence of contractual arrangements, on a pro rata basis based on relative ownership percentage. As an exception to the aforementioned attribution method, during periods in which a less-than-wholly owned entity records an accumulated deficit, the net losses of the less-than-wholly owned subsidiary are, generally, attributed entirely to Verano.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that are recognized or disclosed at fair value in the Condensed Consolidated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credit-risk.</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that are observable for the asset or liability, either directly or indirectly;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for the asset or liability that are not based on observable market data.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accounts payable, accrued liabilities, debt, and acquisition consideration payable.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Company’s long-term debt (which primarily consists of a credit facility and mortgage loans), for which there were no quoted market prices of active trading markets, it was not practicable to estimate the fair value of these financial instruments. The carrying amount of debt as of September 30, 2025 and December 31, 2024 was $400,759 and $413,849, respectively, which included $2,936 and $18,153, respectively, of short-term debt due within one year.</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 The fair value of the Company’s financial instruments associated with each of the three levels of the hierarchy are:</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
        </w:trPr>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4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40"/>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9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
        </w:trPr>
        <w:tc>
          <w:tcPr>
            <w:tcW w:w="6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37"/>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57"/>
        </w:trPr>
        <w:tc>
          <w:tcPr>
            <w:tcW w:w="66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760" w:type="dxa"/>
            <w:vAlign w:val="bottom"/>
          </w:tcPr>
          <w:p>
            <w:pPr>
              <w:spacing w:after="0"/>
              <w:rPr>
                <w:sz w:val="22"/>
                <w:szCs w:val="22"/>
                <w:color w:val="auto"/>
              </w:rPr>
            </w:pPr>
          </w:p>
        </w:tc>
      </w:tr>
      <w:tr>
        <w:trPr>
          <w:trHeight w:val="243"/>
        </w:trPr>
        <w:tc>
          <w:tcPr>
            <w:tcW w:w="6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Consideration Payable</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760" w:type="dxa"/>
            <w:vAlign w:val="bottom"/>
          </w:tcPr>
          <w:p>
            <w:pPr>
              <w:spacing w:after="0"/>
              <w:rPr>
                <w:sz w:val="21"/>
                <w:szCs w:val="21"/>
                <w:color w:val="auto"/>
              </w:rPr>
            </w:pPr>
          </w:p>
        </w:tc>
      </w:tr>
      <w:tr>
        <w:trPr>
          <w:trHeight w:val="40"/>
        </w:trPr>
        <w:tc>
          <w:tcPr>
            <w:tcW w:w="660" w:type="dxa"/>
            <w:vAlign w:val="bottom"/>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291"/>
        </w:trPr>
        <w:tc>
          <w:tcPr>
            <w:tcW w:w="660" w:type="dxa"/>
            <w:vAlign w:val="bottom"/>
          </w:tcPr>
          <w:p>
            <w:pPr>
              <w:spacing w:after="0"/>
              <w:rPr>
                <w:sz w:val="24"/>
                <w:szCs w:val="24"/>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86,861</w:t>
            </w:r>
          </w:p>
        </w:tc>
        <w:tc>
          <w:tcPr>
            <w:tcW w:w="7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6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Two Pointo</w:t>
      </w:r>
    </w:p>
    <w:p>
      <w:pPr>
        <w:spacing w:after="0" w:line="16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October 2022, the Company entered into a conditional management and services agreements with each of Americana Dream, LLC and Green Therapy, LLC, operators of dispensaries in Illinois pursuant to social equity licenses issued by Illinois regulatory authorities (together, the “LLCs”), and in 2023 the Company received an aggregate of $10 for services rendered under the agreements. The Company sold products to the LLCs and two associated entities on a wholesale basis in the aggregate amount of $681, net of discounts, and $2,856, net of discounts, for the three and nine months ended September 30, 2024, respectively. As of December 31, 2024, the amount due from the LLCs and two associated entities was $552. Two Pointo, LLC (“Two Point”) has contractual rights to purchase ownership interests in the LLCs and associated entities, subject to submitting a request for and receiving applicable Illinois regulatory approvals and other conditions. The existing owners of the LLCs and associated entities will maintain ownership interests together with Two Point. In 2023, Darren Weiss, the Company’s former President, received in connection with application support services rendered to an LLC in 2019, (i) a 2.73% profit interest in Two Point subject to Two Point’s purchase of ownership interests in the LLCs, and (ii) a profit interest in Two Point of 0.30%, and David Spreckman, the Company’s Chief Marketing Officer, received a profit interest in Two Point of 0.30% for services. All profit interests issued to Messrs. Weiss and Spreckman were voluntarily forfeited in 2024 as if they were never granted. Maria Fragias, an immediate family member of George Archos, the Company’s Chairman and Chief Executive Officer, is the beneficiary of a trust that held a 7.92% ownership interest and a 3.95% profit interest in Two Point. During the year ended December 31, 2024, the trust for which Maria Fragias was a beneficiary, divested all ownership and profit interests in Two Point. To the Company's knowledge, none of the trust or such persons received any distributions, payments, or proceeds from Two Point.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Aurora, Illinois from 740 Rte. 59, LLC (“740”). Pursuant to the lease agreement, the Company made payments totaling $46 and $46 during each of the three months ended September 30, 2025 and 2024, respectively, and $138 and $138 during each of the nine months ended September 30, 2025 and 2024, respectively. Payments consist of base rent, real estate taxes and customary tenant charges. George Archos, the Company’s Chief Executive Officer, holds an indirect 50% ownership interest in 740. Pursuant to the lease agreement, the initial term expires on June 30, 2030.</w:t>
      </w:r>
    </w:p>
    <w:p>
      <w:pPr>
        <w:spacing w:after="0" w:line="11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real property for a retail dispensary in Lombard, Illinois from 783 Butterfield LLC (“783”). Pursuant to the lease agreement, the Company made payments to 783 totaling $93 and $92 during the three months ended September 30, 2025 and 2024, respectively, and $278 and $274 during the nine months ended September 30, 2025 and 2024, respectively. Payments consist of base rent, real estate taxes and customary tenant charges. George Archos, the Company’s Chief Executive Officer, holds a 50% indirect ownership interest in 783. Pursuant to the lease agreement, the initial term expires on January 11, 2031.</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Sweed</w:t>
      </w:r>
    </w:p>
    <w:p>
      <w:pPr>
        <w:spacing w:after="0" w:line="14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High Tech Holdings, Inc. (“Sweed”) provides point of sale software systems to retail cannabis businesses under the names “Sweed” and “Leaftrade.” Sweed provides these software systems to the Company. For these services the Company paid Sweed $2,838 during the nine months ended September 30, 2025 and $1,382 during the year ended December 31, 2024. GP Management Group, LLC, an entity beneficially owned and controlled by George Archos, held an ownership interest of less than 1% in Sweed as of September 30,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in Thousands except shares and per share amounts)</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034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Special Meeting of Shareholders</w:t>
      </w:r>
    </w:p>
    <w:p>
      <w:pPr>
        <w:spacing w:after="0" w:line="254"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18"/>
          <w:szCs w:val="18"/>
          <w:color w:val="auto"/>
        </w:rPr>
        <w:t xml:space="preserve">On October 27, 2025 the Company’s shareholders approved, at a special meeting, a special resolution to approve a plan of arrangement under Section 288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involving, among other things, the continuance of the Company from the laws of British Columbia, Canada to the laws of the State of Nevada in the United States (the “Continuance”), which was subsequently authorized by the Company’s Board of Directors. The Company plans to consummate the Continuance as soon as it is able in light of the strike of employees at the British Columbia Registrar of Companies.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Vireo Litigation</w:t>
      </w:r>
    </w:p>
    <w:p>
      <w:pPr>
        <w:spacing w:after="0" w:line="254"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On October 28, 2025, the Company reached a comprehensive settlement dismissing all outstanding litigation matters between GGH and the Company that were pending before the Supreme Court of British Columbia, Canada. The settlement consisted of a $1,000 cash payment and the transfer of a building, which was non-operational and classified as held for sale in the amount of $9,000, to GGH.</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management discussion and analysis (this “</w:t>
      </w:r>
      <w:r>
        <w:rPr>
          <w:rFonts w:ascii="Times New Roman" w:cs="Times New Roman" w:eastAsia="Times New Roman" w:hAnsi="Times New Roman"/>
          <w:sz w:val="18"/>
          <w:szCs w:val="18"/>
          <w:b w:val="1"/>
          <w:bCs w:val="1"/>
          <w:i w:val="1"/>
          <w:iCs w:val="1"/>
          <w:color w:val="auto"/>
        </w:rPr>
        <w:t>MD&amp;A</w:t>
      </w:r>
      <w:r>
        <w:rPr>
          <w:rFonts w:ascii="Times New Roman" w:cs="Times New Roman" w:eastAsia="Times New Roman" w:hAnsi="Times New Roman"/>
          <w:sz w:val="18"/>
          <w:szCs w:val="18"/>
          <w:i w:val="1"/>
          <w:iCs w:val="1"/>
          <w:color w:val="auto"/>
        </w:rPr>
        <w:t>”) of the financial condition and results of operations of the Company is for the three and nine months ended September 30, 2025 and September 30, 2024. It is supplemental to, and should be read in conjunction with, the Company’s Unaudited Interim Condensed Consolidated Financial Statements and the accompanying notes for the three and nine months ended September 30, 2025 and with the Company’s Audited Consolidated Financial Statements and the accompanying notes for the years ended December 31, 2024, 2023 and 2022 included in the Form 10-K. The financial statements referenced in this MD&amp;A are prepared in accordance with GAAP. Financial information presented in this MD&amp;A is presented in United States dollars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i w:val="1"/>
          <w:iCs w:val="1"/>
          <w:color w:val="auto"/>
        </w:rPr>
        <w:t>”) and expressed in thousands, unless otherwise indicated. This MD&amp;A contains forward-looking statements that involve risks and uncertainties. Our actual results could differ materially from those projected, forecasted, or expected in these forward-looking statements as a result of various factors, including, but not limited to, those discussed in the Form 10-K and this Form 10-Q. See “Cautionary Statement Regarding Forward-Looking Statements” above, “Risk Factors” in Part I, Item 1A above and “Risk Factors” in the Form 10-K and Part II, Item 1A of subsequently filed Form 10-Qs. The Company's management believes the assumptions underlying the Company’s financial statements and accompanying notes are reasonable. However, the Company’s financial statements and accompanying notes may not be an indication of the Company's financial condition and results of operations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Verano, one of the U.S. cannabis industry’s leading companies based on historical revenue, geographical scope and brand performance, is a vertically integrated, multi-state operator embracing a mission of saying </w:t>
      </w:r>
      <w:r>
        <w:rPr>
          <w:rFonts w:ascii="Times New Roman" w:cs="Times New Roman" w:eastAsia="Times New Roman" w:hAnsi="Times New Roman"/>
          <w:sz w:val="18"/>
          <w:szCs w:val="18"/>
          <w:i w:val="1"/>
          <w:iCs w:val="1"/>
          <w:color w:val="auto"/>
        </w:rPr>
        <w:t>Yes</w:t>
      </w:r>
      <w:r>
        <w:rPr>
          <w:rFonts w:ascii="Times New Roman" w:cs="Times New Roman" w:eastAsia="Times New Roman" w:hAnsi="Times New Roman"/>
          <w:sz w:val="18"/>
          <w:szCs w:val="18"/>
          <w:color w:val="auto"/>
        </w:rPr>
        <w:t xml:space="preserve"> to plant progress and the bold exploration of cannabis. An operator of licensed cannabis cultivation, processing, wholesale distribution and retail facilities, our goal is the ongoing development of communal wellness by providing responsible access to regulated medical and adult use cannabis products to discerning customers. As of October 28, 2025, through our subsidiaries and affiliates we operate businesses in 13 states, including 158 retail dispensaries and 15 cultivation and processing facilities with over 1.1 million square feet of cultivation capacity. We produce a wide variety of high-quality cannabis products sold under our portfolio of consumer brands, including Encore™, Avexia™, MÜV™, Savvy™, (the) Essence™, BITS™ and Verano™. We also design, build and operate branded retail environments including Zen Leaf™ and MÜV™ dispensaries that deliver a cannabis shopping experience in both medical and adult use markets.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permissive regulatory environment of medical, and in some cases, also adult use (i.e., recreational) cannabis, at the state level, it remains illegal under U.S. federal law to cultivate, manufacture, distribute, sell or possess cannabis in the U.S. Because federal law prohibits transporting any federally restricted substance across state lines, cannabis cannot be transported across state lines. As a result of current federal law prohibitions, the U.S. cannabis industry is conducted on a state-by-state basis. To date, in the U.S. 40 states plus the District of Columbia and the U.S. territories of Puerto Rico, Guam, the Commonwealth of Northern Marina Islands, and the U.S. Virgin Islands have authorized comprehensive medical cannabis programs, 24 states plus the District of Columbia and the U.S. territories of Guam, the Commonwealth of Northern Mariana Islands, and the U.S. Virgin Islands have authorized comprehensive programs for medical and adult use (i.e. recreational) cannabis, and 8 states allow the use of low tetrahydrocannabinol (THC) and high cannabidiol (CBD) products for specified medical uses. Verano operates within states where cannabis use, medical or both medical and adult use, has been approved by state and local regulatory bodies. Strict compliance with state and local laws with respect to cannabis may neither absolve the Company of liability under U.S. federal law, nor may it provide a defense to any federal proceeding which may be brought against the Company or any of its subsidiaries.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is to vertically integrate as a single cohesive company in multiple states through the consolidation of seed-to-sale cultivating, manufacturing, distributing, and dispensing cannabis brands and products at scale. Our cultivation, processing and wholesale distribution of cannabis consumer packaged goods are designed to guarantee shelf-space in our national retail dispensary chains, as well as to develop and foster long term wholesale supply relationships with third-party retail operators. Our model includes geographic diversity by establishing a footprint to allow us to adapt to changes in both industry and market conditions.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United States government has recently adopted new approaches to trade policy and has announced tariffs on certain foreign goods and the possibility of significant additional tariff increases or expansions of tariffs. The timing and scope of such tariffs by the United States and retaliatory tariffs by other countries in response to such tariffs is currently uncertain. Such tariffs could create supply chain disruptions or increased pricing of procured materials, which could impact our current and expansion strategy as well as our business, operating results and financial condition. See </w:t>
      </w:r>
      <w:r>
        <w:rPr>
          <w:rFonts w:ascii="Times New Roman" w:cs="Times New Roman" w:eastAsia="Times New Roman" w:hAnsi="Times New Roman"/>
          <w:sz w:val="18"/>
          <w:szCs w:val="18"/>
          <w:i w:val="1"/>
          <w:iCs w:val="1"/>
          <w:color w:val="auto"/>
        </w:rPr>
        <w:t>“Risk Factors” in Part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 1A </w:t>
      </w:r>
      <w:r>
        <w:rPr>
          <w:rFonts w:ascii="Times New Roman" w:cs="Times New Roman" w:eastAsia="Times New Roman" w:hAnsi="Times New Roman"/>
          <w:sz w:val="18"/>
          <w:szCs w:val="18"/>
          <w:color w:val="auto"/>
        </w:rPr>
        <w:t>in the Form 10-Q filed for the period ended March 31, 2025.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presents selected financial data derived from the (i) Unaudited Interim Condensed Consolidated Financial Statements for the three and nine months ended September 30, 2025 and 2024 and (ii) the Condensed Consolidated Balance Sheets as of September 30, 2025 and December 31, 2024, and should be read in conjunction with the Unaudited Interim Condensed Consolidated Financial Statements and accompanying notes presented in Item 1 of this Form 10-Q. The selected Unaudited Interim Condensed Consolidated financial information below may not be indicative of the Company's future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as Compared to Three Months Ended September 30, 2024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40"/>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6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40"/>
        </w:trPr>
        <w:tc>
          <w:tcPr>
            <w:tcW w:w="6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net of discounts, for the three months ended September 30, 2025 was $202,810, a decrease of $13,873 or 6%, compared to revenue of $216,683 for the three months ended September 30, 2024. The decrease in revenue, net of discounts, was primarily attributable to price compression across several established markets, as well as competition within the cultivation (wholesale) segment. Additionally, declines within the cultivation (wholesale) segment were attributable to the Company's ongoing accounts receivable strategy as the Company continues to prioritize business with credit-worthy customers. Conversely, the retail segment experienced a modest increase driven by product availability in the Florida market. This was largely offset by targeted promotional activities and discounting strategies in retail stores to stimulate traffic and drive sales volumes, when comparing the three months ended September 30, 2025 to the three months ended September 30, 2024. During the three months ended September 30, 2025, the Company opened one new retail store located within the Florida market. Retail revenue for the three months ended September 30, 2025 was approximately 67% of total revenue compared to 64% of total revenue for the three months ended September 30, 2024, in each case, excluding intersegment eliminations. Cultivation (wholesale) revenue for the three months ended September 30, 2025 was approximately 33% of total revenue compared to 36% of total revenue for the three months ended September 30, 2024, in each case, excluding intersegment eliminations.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September 30, 2025 was $95,237, representing a gross profit margin of 47%. This is compared to gross profit for the three months ended September 30, 2024 of $109,097, which represented a gross profit margin of 50%. The decrease was driven by a decline in revenues, net of discounts, attributable to the cultivation (wholesale) segment which experienced third-party price compression partially offset by a slight increase in revenues, net of discounts, attributable to the retail segment which experienced increased targeted promotional activities and discounting strategies in retail stores during the three months ended September 30, 2025 when compared to the three months ended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loss attributable to the Company for the three months ended September 30, 2025 was $(43,832), an increase of $1,265, compared to a net loss of $(42,567) for the three months ended September 30, 2024. The increase was primarily driven by a decrease in gross profit margin coupled with a loss contingency of $10,000 recorded to other income (expense), net and an impairment charge of $5,400 resulting from a reduction in the carrying value of a cultivation facility in Pennsylvania classified as a held-for-sale asset. This is partially offset by a lower provision for income taxes when comparing the three months ended September 30, 2025 to the three months ended September 30,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0" w:type="dxa"/>
            <w:vAlign w:val="bottom"/>
          </w:tcPr>
          <w:p>
            <w:pPr>
              <w:spacing w:after="0"/>
              <w:rPr>
                <w:sz w:val="1"/>
                <w:szCs w:val="1"/>
                <w:color w:val="auto"/>
              </w:rPr>
            </w:pPr>
          </w:p>
        </w:tc>
      </w:tr>
      <w:tr>
        <w:trPr>
          <w:trHeight w:val="40"/>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1"/>
        </w:trPr>
        <w:tc>
          <w:tcPr>
            <w:tcW w:w="6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0" w:type="dxa"/>
            <w:vAlign w:val="bottom"/>
          </w:tcPr>
          <w:p>
            <w:pPr>
              <w:spacing w:after="0"/>
              <w:rPr>
                <w:sz w:val="1"/>
                <w:szCs w:val="1"/>
                <w:color w:val="auto"/>
              </w:rPr>
            </w:pPr>
          </w:p>
        </w:tc>
      </w:tr>
      <w:tr>
        <w:trPr>
          <w:trHeight w:val="41"/>
        </w:trPr>
        <w:tc>
          <w:tcPr>
            <w:tcW w:w="6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cultivating and processing cannabis and for retail purchases of finished goods, such as flower, edibles, and concentrates. Cost of goods sold, net for the three months ended September 30, 2025 was $107,573, a decrease of $13 or less than 1%, as compared to the three months ended September 30, 2024. The modest decrease was primarily attributable to a decline in revenues, net of discounts, coupled with third-party price compression for the three months ended September 30, 2025 when compared to the three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(“SG&amp;A”) for the three months ended September 30, 2025 were $80,560, a decrease of $11,767 or 13%, compared to SG&amp;A expenses of $92,327 for the three months ended September 30, 2024. SG&amp;A expenses as a percentage of revenue were 40% and 43% for the three months ended September 30, 2025 and September 30, 2024, respectively. The decrease in SG&amp;A expenses was attributable to a decrease in depreciation and amortization expense coupled with a decrease in salaries and benefits when comparing the three months ended September 30, 2025 to the three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income (expense), net for the three months ended September 30, 2025, was $(24,668), an increase of $10,809 as compared to the three months ended September 30, 2024. The total other income (expense), net increase was attributable to a loss contingency of $10,000 coupled with a Loss on Debt Extinguishment of $946 related to the Permitted Partial Optional Prepayment on September 30, 2025, under the 2022 Credit Agreement for the three months ended September 30, 2025, when compared to the three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three months ended September 30, 2025, was $28,441, a decrease of $17,037 or 37% when compared to the three months ended September 30, 2024, primarily due to a decrease in overall revenues, net of discounts coupled with the forecasted annualized effective tax rates, adjusted for discrete items.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as Compared to Nine Months Ended September 30, 2024</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gridSpan w:val="7"/>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40"/>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(45,488)</w:t>
            </w:r>
          </w:p>
        </w:tc>
        <w:tc>
          <w:tcPr>
            <w:tcW w:w="0" w:type="dxa"/>
            <w:vAlign w:val="bottom"/>
          </w:tcPr>
          <w:p>
            <w:pPr>
              <w:spacing w:after="0"/>
              <w:rPr>
                <w:sz w:val="1"/>
                <w:szCs w:val="1"/>
                <w:color w:val="auto"/>
              </w:rPr>
            </w:pPr>
          </w:p>
        </w:tc>
      </w:tr>
      <w:tr>
        <w:trPr>
          <w:trHeight w:val="257"/>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w:t>
            </w: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Verano Holdings Corp. &amp; Subsidiaries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56"/>
        </w:trPr>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&amp; diluted</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41"/>
        </w:trPr>
        <w:tc>
          <w:tcPr>
            <w:tcW w:w="6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net of discounts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net of discounts, for the nine months ended September 30, 2025 was $614,891, a decrease of $45,488 or 7%, compared to revenue of $660,379 for the nine months ended September 30, 2024. The decrease in revenue, net of discounts was driven primarily by the Company's accounts receivable strategy in the cultivation (wholesale) segment, of maintaining a number of accounts on hold for non-payment coupled with third-party price compression in established markets. This was partially offset by an increase in the retail segment driven by product availability in the Florida market. During the nine months ended September 30, 2025, the Company opened six new stores: two in Connecticut, three in Florida and one in Ohio. Retail revenue for the nine months ended September 30, 2025 was approximately 68% of total revenue compared to 65% of total revenue for the nine months ended September 30, 2024, in each case, excluding intersegment eliminations. Cultivation (wholesale) revenue for the nine months ended September 30, 2025 was approximately 32% of total revenue compared to 35% of total revenue for the nine months ended September 30, 2024, in each case, excluding intersegment eliminations.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nine months ended September 30, 2025 was $307,802, representing a gross profit margin on the sale of cannabis, cannabis extractions, edibles and related accessories of 50%. This is compared to gross profit for the nine months ended September 30, 2024 of $336,397, which represented a 51% gross profit margin on the sale of cannabis, cannabis extractions, edibles and related accessories. The decrease in gross profit during the nine months ended September 30, 2025 compared to the nine months ended September 30, 2024, was primarily driven by increased targeted promotional activities and discounting strategies in retail stores as well as third-party price compression in the cultivation (wholesale)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loss attributable to the Company for the nine months ended September 30, 2025 was $(74,497), an increase of $5,344, compared to a net loss of $(69,153) for the nine months ended September 30, 2024. The increase was largely driven by a loss contingency of $10,000 recorded to other income (expense), net and an impairment charge of $5,400 resulting from a reduction in the carrying value of a cultivation facility in Pennsylvania classified as a held-for-sale asset for the nine months ended September 30, 2025 compared to the nine months ended September 30, 2024. This is partially offset by a lower provision for income taxes when comparing the nine months ended September 30, 2025 to the nine months ended September 30, 2024.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40"/>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6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307,089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323,982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251,484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269,690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(44,045)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(48,375)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57"/>
        </w:trPr>
        <w:tc>
          <w:tcPr>
            <w:tcW w:w="6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(80,942)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(87,485)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0" w:type="dxa"/>
            <w:vAlign w:val="bottom"/>
          </w:tcPr>
          <w:p>
            <w:pPr>
              <w:spacing w:after="0"/>
              <w:rPr>
                <w:sz w:val="1"/>
                <w:szCs w:val="1"/>
                <w:color w:val="auto"/>
              </w:rPr>
            </w:pPr>
          </w:p>
        </w:tc>
      </w:tr>
      <w:tr>
        <w:trPr>
          <w:trHeight w:val="41"/>
        </w:trPr>
        <w:tc>
          <w:tcPr>
            <w:tcW w:w="6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net, includes the costs directly attributable to cultivating and processing cannabis and for retail purchases of finished goods, such as flower, edibles, and concentrates. Cost of goods sold, net, for the nine months ended September 30, 2025 was $307,089, a decrease of $16,893 or 5%, as compared to the nine months ended September 30, 2024. The decrease was primarily driven by third-party price compression in the cultivation (wholesale)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nine months ended September 30, 2025 were $251,484, a decrease of $18,206 or 7%, compared to SG&amp;A expenses of $269,690 for the nine months ended September 30, 2024. SG&amp;A expenses as a percentage of revenue was 41% and 41% for the nine months ended September 30, 2025, and September 30, 2024, respectively. The decrease in SG&amp;A expenses was driven by a decrease in depreciation and amortization expense coupled with ongoing efficiencies generated across the business when comparing the nine months ended September 30, 2025 to the six months ended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other income (expense), net for the nine months ended September 30, 2025, was $(44,045), a decrease of $4,330 as compared to the nine months ended September 30, 2024. The total other income (expense), net decrease was attributable to the voluntary partial payoff agreement for the CC East Virginia Promissory Note resulting in a Gain on Debt Extinguishment partially offset by a Loss on Debt Extinguishment related to the Permitted Partial Optional Prepayment under the 2022 Credit Agreement and a loss contingency of $10,000 during the nine months ended September 30, 2025. Additionally, the total other income (expense), net decrease was attributable to less interest expense on our debt obligations coupled with a Gain on Deconsolidation relating to our Arkansas operations during January 2025, which no longer met the criteria for consolidation as a result of termination of contracts providing us with control over the applicable entity's operations, when comparing the three months ended September 30, 2025 to the three months ended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is recognized based on the expected tax payable on the taxable income for the year, using tax rates enacted or substantively enacted at year-end. Income tax expense for the nine months ended September 30, 2025, was $(80,942), a decrease of $6,543 or 7% primarily due to a decrease in overall revenues, net of discounts, coupled with the forecasted annualized effective tax rates, adjusted for discrete items.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 cultivation (wholesale) and (ii) retail. Due to the vertically integrated nature of its business, the Company reviews its revenue at the cultivation (wholesale) and retail levels while reviewing its operating results on a consolidated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revenues, net of discounts, by segment for the three and nine months ended September 30,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4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81,951</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1"/>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164,462</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41"/>
        </w:trPr>
        <w:tc>
          <w:tcPr>
            <w:tcW w:w="4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202,810</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cultivation (wholesale) segment were $81,951 for the three months ended September 30, 2025, a decrease of $8,500 or 9%, compared to the three months ended September 30, 2024, in each case, excluding intersegment eliminations. The decrease in cultivation (wholesale) revenues, net of discounts, was driven by the Company's accounts receivable strategy of maintaining a number of accounts on hold for non-payment and competition in certain markets when comparing the three months ended September 30, 2025 to the three months ended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net of discounts, for the retail segment were $164,462 for the three months ended September 30, 2025, an increase of $174, compared to the three months ended September 30, 2024, in each case, excluding intersegment eliminations. The increase in retail revenues, net of discounts, was primarily driven by a modest increase in product availability in the Florida market. This was largely offset by targeted promotional activities and discounting strategies in retail stores to stimulate traffic and drive sales volumes when comparing the three months ended September 30, 2025 to the three months ended September 30,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40"/>
        </w:trPr>
        <w:tc>
          <w:tcPr>
            <w:tcW w:w="4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Cultivation (Wholesale)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234,852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269,042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0"/>
        </w:trPr>
        <w:tc>
          <w:tcPr>
            <w:tcW w:w="4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502,367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497,468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Pr>
          <w:p>
            <w:pPr>
              <w:spacing w:after="0"/>
              <w:rPr>
                <w:sz w:val="21"/>
                <w:szCs w:val="21"/>
                <w:color w:val="auto"/>
              </w:rPr>
            </w:pP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(122,328)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(106,131)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40"/>
        </w:trPr>
        <w:tc>
          <w:tcPr>
            <w:tcW w:w="4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net of discounts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614,891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660,379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net of discounts, for the cultivation (wholesale) segment were $234,852 for the nine months ended September 30, 2025, a decrease of $34,190 or 13%, compared to the nine months ended September 30, 2024, in each case, excluding intersegment eliminations. The decrease in cultivation (wholesale) revenues, net of discounts, was attributable to the Company's accounts receivable strategy in the cultivation (wholesale) segment, which was to maintain a number of accounts on hold for non-payment coupled with expected third-party price compression in established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net of discounts, for the retail segment were $502,367 for the nine months ended September 30, 2025, an increase of $4,899 or 1%, compared to the nine months ended September 30, 2024, in each case, excluding intersegment eliminations. The increase in retail revenues, net of discounts, was driven by product availability in the Florida market when comparing the nine months ended September 30, 2025 to the nine months ended September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Drivers of Operational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derives its revenue from both its cultivation (wholesale) business in which it cultivates, produces and sells cannabis products to third-party retail customers, and its retail business, in which it directly sells cannabis products to retail patients and consumers. For the three months ended September 30, 2025, approximately 33% of the Company’s revenue was generated from the cultivation (wholesale) business, excluding intersegment eliminations, and approximately 67% from the retail business, excluding intersegment eliminations. For the nine months ended September 30, 2025, approximately 32% of revenue was generated from the cultivation (wholesale) business, excluding intersegment eliminations and approximately 68% from the retail business, excluding intersegment eliminations.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revenue less cost of goods sold, net. Cost of goods sold, net includes the costs directly attributable to product sales and includes amounts paid for finished goods, such as flower, edibles, and concentrates, as well as packaging and other supplies, fees for services and processing, rent, utilities, and related costs. Cannabis costs are affected by various state regulations that limit the sourcing and procurement of cannabis product, which may create fluctuations in gross profit over comparative periods as the regulatory environment changes. Gross profit margin measures the Company’s gross profit as a percentage of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expansion and revenue growth strategy has taken priority and will continue to do so for the foreseeable future as it expands its footprint, by exploring new markets and opening or acquiring new dispensary locations, and scales production within certain markets. In the core markets in which the Company is already operational and, as the state markets mature, the Company anticipates that there will be pressure on margins in the cultivation (wholesale) and retail channels. The Company’s current production capacity has not been fully realized and it is expected that price compression at the cultivation (wholesale) level, will be partially offset by operational optimization.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expenses other than the cost of goods sold consist of selling costs to support customer relationships and to deliver product to the Company’s retail stores. It also includes a significant investment in the corporate infrastructure required to support ongoing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costs generally correlate to revenue. As a percentage of sales, selling costs are expected to increase slightly in currently operational markets as facility and market expansion occurs. The increase is expected to be driven primarily by the growth of the Company’s retail and cultivation (wholesale) channels and new retail openings.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also include costs incurred at the Company’s corporate offices, primarily related to back-office personnel costs, including salaries, incentive compensation, benefits, stock-based compensation and professional service costs. SG&amp;A expenses may increase in connection with supporting the business and could experience an increase in expenses related to recruiting and hiring talent, along with legal and professional fees associated with being a public-reporting company and publicly traded in Canada and a public-reporting company in the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cannabis industry, it is subject to the limits of Section 280E of the Code under which the Company is only allowed to deduct expenses directly related to the sale of products. This results in permanent differences between ordinary and necessary business expenses deemed non-allowable under Section 280E of the Code and a higher effective tax rate than most industries. The Company has taken a position that it does not owe taxes attributable to the application of Section 280E of the Code.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FINANCING ACTIVITIES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total current liabilities of $143,411 and $197,968, respectively. As of September 30, 2025 and December 31, 2024, the Company had cash and cash equivalents of $82,623 and $87,796, respectively, to meet its current obligations. The Company had working capital of $242,014 as of September 30, 2025, an increase of working capital of $82,473 as compared to December 31, 2024. This increase in working capital during the nine months ended September 30, 2025 compared to December 31, 2024, was attributable to an increase in inventory driven by higher production volumes and more efficient harvests from expanded cultivation facilities coupled with a lower income tax payable balance due in part to the Company's treatment of Section 280E of the Code which shifted a portion of the short-term liability to a long-term liability on the Company's Condensed Consolidated Balance Sheets.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generates cash from revenues and deploys its capital to acquire and develop assets capable of producing additional revenues and earnings over both the immediate and long term. Capital is primarily being utilized for capital expenditures, facility improvements, strategic investment opportunities, product development and marketing, as well as customer, supplier, and investor and industry relations. The Company takes a cautious approach in allocating its capital to maximize its returns while ensuring appropriate liquidity. Given inflation and the uncertainty of the future economic environment, the Company has taken additional measures in monitoring and deploying its capital to minimize the potentially negative impact on its operations and expansion plans.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short-term liquidity requirements consist primarily of funds necessary to pay for our acquisitions, to repay borrowings, maintain our operations and other general business needs. We believe that internally generated funds and other sources of liquidity discussed below will be sufficient to meet working capital needs, capital expenditures, and other business requirements for at least the next 12 months. We believe we will meet known or reasonably likely future cash requirements through the combination of cash generated from operating activities, available cash balances and available borrowings. If these sources of liquidity need to be augmented, additional cash requirements would likely be financed through the issuance of equity securities or additional borrowings; however, there can be no assurances that we will be able to obtain additional equity financing or debt financing on acceptable terms, or on terms similar to our existing financings,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liquidity requirements consist primarily of completing additional acquisitions, scheduled debt payments and future payments of income tax payables, maintaining and expanding our operations and other general business needs. We expect to meet our long-term liquidity requirements through various sources of capital, which may include future debt or equity issuances, net cash provided by operations and other secured and unsecured borrowings. We believe that the foregoing sources of capital will provide sufficient funds for our operations, anticipated expansion and scheduled debt payments for the long-term. Our ability to fund our operating needs will depend on our future ability to continue to generate positive cash flow from operations and our ability to obtain debt or equity financing on acceptable terms.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2022, Verano and certain of its subsidiaries and affiliates, as the Borrowers, entered into the 2022 Credit Agreement with Chicago Atlantic, as administrative agent for the Lenders, and the Lenders party thereto, pursuant to which the Lenders advanced the Borrowers a $350,000 senior secured term loan, and which also provides the Borrowers with the right, subject to conditions, to request an additional incremental term loan of up to $100,000; provided that the Lenders elect to fund such incremental term loan. At funding, all the proceeds of the loans made under the 2022 Credit Agreement were used to repay the amounts owing under the Company's previous senior secured term loan credit facility. In connection with such repayment, such previous credit facility was terminated and is no longer in force or effect.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provides the Borrowers with the right, subject to conditions, to request an additional incremental term loan in the aggregate principal amount of up to $100,000; provided that the Lenders elect to fund such incremental term loan. Beginning in October 2023, the loan requires scheduled amortization payments of $350 per month and the remaining principal balance is due in full on October 30, 2026.</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 Credit Agreement also provides the Borrowers with the right to (a) incur up to $120,000 of additional indebtedness from third-party lenders secured by real estate excluded as collateral under the 2022 Credit Agreement, (b) incur additional mortgage financing from third-party lenders secured by real estate acquired after the closing date, and (c) upon the SAFE Banking Act or similar legislation making banking services available to U.S. cannabis companies being passed by the United States Congress, incur up to $50,000 pursuant to a revolving credit facility from third-party lenders that is pari passu or subordinated to the 2022 Credit Agreement obligations, each of which are subject to customary conditions.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under the 2022 Credit Agreement are secured by substantially all of the assets of the Borrowers, excluding vehicles, specified parcels of real estate and other customary exclusions.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Credit Agreement provides for a floating annual interest rate equal to the prime rate then in effect plus 6.50%, which rate may be increased by 3.00% upon an event of default that is not a material event of default or 6.00% upon a material event of default as provided in the 2022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Company may voluntarily prepay up to $100,000 of the principal balance, subject to a one-time $1,000 prepayment premium upon the first prepayment, and may prepay the remaining outstanding principal balance for a prepayment premium at varying rates based on the timing of any subsequent prepayments. The Borrowers may not voluntarily prepay more than $100,000 of the principal balance without prepaying the entire outstanding principal balance of the loan.</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Company made a Permitted Partial Optional Prepayment (as defined in the 2022 Credit Agreement) in the amount of $50,000 pursuant to the 2022 Credit Agreement and paid a $1,000 prepayment premium in connection therewith. In connection with such Permitted Partial Optional Prepayment, Chicago Atlantic and certain Lenders agreed to (a) release certain Borrowers from their obligations under, and as parties to, the 2022 Credit Agreement and related agreements and (b) release all liens over such Borrowers’ property, including real estate, held by Chicago Atlantic for the benefit of the Lenders, in each case, pursuant to a limited consent and waiver, dated as of April 29, 2024, by and among Borrowers, certain of the lenders party thereto and Chicago Atlantic.</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made a Permitted Partial Optional Prepayment (as defined in the 2022 Credit Agreement) in the amount of $50,000 pursuant to the 2022 Credit Agreement, without any penalty or premium.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includes customary representations, warranties, covenants and customary events of default, including, without limitation, payment defaults, breaches of representations and warranties, covenant defaults, cross-defaults to material indebtedness, and events of bankruptcy and insolvency.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also includes customary negative covenants limiting the Borrowers’ ability to incur additional indebtedness and grant liens that are not otherwise permitted, and the ability to enter into or consummate acquisitions or dispositions that are not otherwise permitted, among others. Additionally, the 2022 Credit Agreement requires the Borrowers to meet certain financial tests regarding minimum cash balances, minimum levels of Adjusted EBITDA (as defined in the 2022 Credit Agreement) and a minimum fixed charge coverage ratio.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was in compliance with such covenants.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George Archos, the Chairman and Chief Executive Officer of the Company, participated in the 2022 Credit Agreement as a lender funding $1,000 of the $350,000 principal amount. Mr. Archos is excluded from certain approval rights of the lenders and any penalties and fees due to Mr. Archos under the 2022 Credit Agreement are immaterial to the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entered into the Revolver, by and among the Company, as a guarantor, the Real Estate Subsidiaries, lenders from time-to-time party thereto, and Chicago Atlantic, as administrative agent for the lenders.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Revolver provides for a $75,000 revolving loan facility, $50,000 of which was drawn on September 30, 2025 and used to prepay, without any penalty or premium, $50,000 of outstanding obligations due under the 2022 Credit Agreement. Amounts drawn under the Revolver do not require amortization payments and all outstanding amounts are due in full on September 29, 2028. The Revolver provides for a floating annual interest rate on amounts drawn equal to one-month Term SOFR (subject to a minimum 4% SOFR floor) plus 6%, which rate may be increased by 3% upon an event of default or 6% upon a material event of default as provided in the Revolver. The Company incurred debt issuance costs of $2,210 in connection with the establishment of the Revolver. In accordance with ASC 835-30, these costs are presented on the Condensed Consolidated Balance Sheet as a direct deduction from the carrying amount of the related debt liability. The debt issuance costs are amortized over the contractual term of the Revolver using the effective interest method. Amortization expense related to these costs is included in Interest Expense in the accompanying Unaudited Interim Condensed Consolidated Statements of Operations.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Revolver may be drawn in $2,500 increments upon ten business days prior notice and any outstanding amount under the Revolver may be voluntarily prepaid in $2,500 increments upon five business days prior notice without any penalty or premium, unless such prepayment occurs within six months of the applicable advance, in which case, such prepayment shall be subject to a six-month interest make whole. Any amounts prepaid may be redrawn subject to the same requirements set forth above. The Revolver is subject to a borrowing base which requires the outstanding principal balance under the Revolver to be equal to or less than 60% of the appraised value, net of certain indebtedness, of the owned real estate serving as collateral for the Revolver from time to time.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Revolver are secured by substantially all of the assets of the Real Estate Subsidiaries, which primarily consistent of owned real estate, and are guaranteed by the Company on an unsecured basis. Additionally, the Revolver allows for the proportionate release of certain Real Estate Subsidiaries upon request of the Company so long as the outstanding principal balance under the Revolver does not exceed 60% of the appraised value, net of certain indebtedness, of the owned real estate serving as collateral after giving effect to such release.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includes customary representations, warranties, and covenants and customary events of default, including, without limitation, payment defaults, breaches of representations and warranties, covenant defaults, cross-defaults to material indebtedness, and events of bankruptcy and insolvency.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Revolver also includes customary negative covenants, including, without limitation, limiting the Real Estate Subsidiaries’ ability to (a) incur additional indebtedness, make guarantees and grant liens that are otherwise not permitted and (b) enter into or consummate acquisitions or dispositions that are not otherwise permitted, among others.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Columbia Care Eastern Virginia LLC</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the Company entered into the Virginia EPA to purchase all of the issued and outstanding equity interests of CC East Virginia. The transaction closed on August 21, 2024. Pursuant to the Virginia EPA, the Company issued the CC East Virginia Promissory Note in the amount of $26,700, which was amended to $27,852 on May 27, 2025 in connection with a purchase price adjustment. The CC East Virginia Promissory Note has an estimated fair value of $26,068, and bears interest at a rate of 7% per annum beginning on the closing date, through maturity on the two-year anniversary of the closing date. Subsequently, on May 27, 2025, the Company entered into a waiver and partial payoff agreement related to a portion of the CC East Virginia Promissory Note. During the nine months ended September 30, 2025, the Company partially extinguished the CC East Virginia Promissory Note.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14, 2025, the Company entered into a loan with Rainbow Realty Group IV, LLC to borrow a principal amount of $12,000 secured by real estate in Coolidge, Arizona and North Las Vegas, Nevada. The loan bears an interest rate of 11% per annum and matures in March 2030.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Liabilities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income tax payable liabilities. These income tax payable liabilities will require payment from our liquidity sources, and we believe we have sufficient liquidity for both short-term and long-term payments of our income tax payable liabilities in addition to our other obligations. The Company expects to retain additional cash from operations, due in part to the Company's treatment of Section 280E of the Code as not applying to limit its deduction of ordinary and necessary business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 Investing and Financing Activities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nine months ended September 30, 2025 and 2024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60" w:type="dxa"/>
            <w:vAlign w:val="bottom"/>
          </w:tcPr>
          <w:p>
            <w:pPr>
              <w:spacing w:after="0"/>
              <w:rPr>
                <w:sz w:val="20"/>
                <w:szCs w:val="20"/>
                <w:color w:val="auto"/>
              </w:rPr>
            </w:pPr>
          </w:p>
        </w:tc>
      </w:tr>
      <w:tr>
        <w:trPr>
          <w:trHeight w:val="41"/>
        </w:trPr>
        <w:tc>
          <w:tcPr>
            <w:tcW w:w="5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5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5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68,694</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(29,654)</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(120,852)</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98,218</w:t>
            </w:r>
          </w:p>
        </w:tc>
      </w:tr>
      <w:tr>
        <w:trPr>
          <w:trHeight w:val="41"/>
        </w:trPr>
        <w:tc>
          <w:tcPr>
            <w:tcW w:w="5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4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(57,635)</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6"/>
              </w:rPr>
              <w:t>36,058</w:t>
            </w:r>
          </w:p>
        </w:tc>
      </w:tr>
      <w:tr>
        <w:trPr>
          <w:trHeight w:val="41"/>
        </w:trPr>
        <w:tc>
          <w:tcPr>
            <w:tcW w:w="59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2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Cash flow generated from operating activities provides us with a source of liquidity. Our cash flows from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result from cash received from our customers, offset by cash payments we make for products and services, operational costs, and income taxes. During the nine months ended September 30, 2025 and 2024, the Company had net cash inflows of $39,040 and $68,694, respectively. The $29,654 decrease was largely driven by an increase in inventory driven by higher production volumes and more efficient harvests from expanded cultivation facilities coupled with income tax payments made when comparing the nine months ended September 30, 2025 to the nine months ended September 30, 2024.</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During the nine months ended September 30, 2025 and 2024, the Company had net cash outflows of $(22,634)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$(120,852), respectively. The $98,218 decrease in net cash outflows during the nine months ended September 30, 2025 compared to the nine months ended September 30, 2024 was primarily driven by lower purchases of property, plant and equipment of $(31,792) during the nine months ended September 30, 2025, compared to purchases of property, plant and equipment of $(84,803) and during the nine months ended September 30, 2024 as well as acquisition activity during the third quarter of 2024.</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During the nine months ended September 30, 2025 and 2024, the Company had net cash outflows of $(21,577)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$(57,635), respectively. The $36,058 decrease in net cash outflows during the nine months ended September 30, 2025 compared to the nine months ended September 30, 2024 was attributable to proceeds from debt related to the loan with Rainbow Realty Group IV, LLC, which was offset by principal repayments of debt during the nine months ended September 30, 2025. During the nine months ended September 30, 2024, the main financing activity outflow is attributable to the Company's Permitted Partial Optional Prepayment (as defined in the 2022 Credit Agreement) pursuant to the 2022 Credit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or Adoption of Accounting Practices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of recently issued accounting standards under Part I, Item 1, Notes to Unaudited Interim Condensed Consolidated Financial Statements, </w:t>
      </w:r>
      <w:r>
        <w:rPr>
          <w:rFonts w:ascii="Times New Roman" w:cs="Times New Roman" w:eastAsia="Times New Roman" w:hAnsi="Times New Roman"/>
          <w:sz w:val="18"/>
          <w:szCs w:val="18"/>
          <w:i w:val="1"/>
          <w:iCs w:val="1"/>
          <w:color w:val="auto"/>
        </w:rPr>
        <w:t>Note 1 -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from the information provided in “Management’s Discussion and Analysis of Financial Condition and Results of Operations,” included in the Form 10-K.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 disclosures as set forth in Part II, Item 7A of the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under the Exchange Act, our management, including our Chief Executive Officer (who is our principal executive officer) and Chief Financial Officer (who is our principal financial officer), evaluated, as of September 30, 2025, the end of the period covered by this Form 10-Q, the effectiveness of our disclosure controls and procedures as defined in Exchange Act Rule 13a-15(e) and Rule 15d-15(e). Based on this evaluation, our Chief Executive Officer and Chief Financial Officer concluded that our disclosure controls and procedures were effective as of the end of the period covered by this Form 10-Q.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controls system, no matter how well designed and operated, cannot provide absolute assurance that the objectives of the controls systems are met, and no evaluation of controls can provide absolute assurance that all control issues and instances of fraud or error, if any, within a company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claims, investigations and government inquiries in the ordinary course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Please see the Notes to Unaudited Interim Condensed Consolidated Financial Statements, </w:t>
      </w:r>
      <w:r>
        <w:rPr>
          <w:rFonts w:ascii="Times New Roman" w:cs="Times New Roman" w:eastAsia="Times New Roman" w:hAnsi="Times New Roman"/>
          <w:sz w:val="18"/>
          <w:szCs w:val="18"/>
          <w:i w:val="1"/>
          <w:iCs w:val="1"/>
          <w:color w:val="auto"/>
        </w:rPr>
        <w:t>Note 11 – Contingencies and Other – Claims and Litigation</w:t>
      </w:r>
      <w:r>
        <w:rPr>
          <w:rFonts w:ascii="Times New Roman" w:cs="Times New Roman" w:eastAsia="Times New Roman" w:hAnsi="Times New Roman"/>
          <w:sz w:val="18"/>
          <w:szCs w:val="18"/>
          <w:color w:val="auto"/>
        </w:rPr>
        <w:t>,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Each of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Form 10-K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Quarterly Report on Form 10-Q filed with the SEC on May 8, 2025 (the “Q1 2025 Form 10-Q”), include a discussion of our risk factors. There have been no material changes from the risk factors described within the Form 10-K and the Q1 2025 Form 10-Q. We may disclose changes to such risk factors or disclose additional risk factors from time to time in our future SEC filings.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which have not been reported on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Rule </w:t>
      </w:r>
      <w:r>
        <w:rPr>
          <w:rFonts w:ascii="Times New Roman" w:cs="Times New Roman" w:eastAsia="Times New Roman" w:hAnsi="Times New Roman"/>
          <w:sz w:val="18"/>
          <w:szCs w:val="18"/>
          <w:i w:val="1"/>
          <w:iCs w:val="1"/>
          <w:color w:val="auto"/>
        </w:rPr>
        <w:t>10b5-1</w:t>
      </w:r>
      <w:r>
        <w:rPr>
          <w:rFonts w:ascii="Times New Roman" w:cs="Times New Roman" w:eastAsia="Times New Roman" w:hAnsi="Times New Roman"/>
          <w:sz w:val="18"/>
          <w:szCs w:val="18"/>
          <w:color w:val="auto"/>
        </w:rPr>
        <w:t xml:space="preserve"> Trading Plans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the directors and officers of the Company (as defined in Rule 16a-1(f) of the Exchange Act) set forth below adopted prearranged share trading plans with brokerage firms, each of which was entered into during an open trading window under the Company's insider trading policy and is intended to satisfy the affirmative defense of Rule 10b5-1(c) under the Exchange Act and the Company’s policies regarding insider trading transactions. The details regarding the date entered into, the estimated number of Subordinate Voting Shares for sale and the expiration date with respect to each applicable officer are set forth opposite such officer's name below.</w:t>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920" w:type="dxa"/>
            <w:vAlign w:val="bottom"/>
            <w:tcBorders>
              <w:top w:val="single" w:sz="8" w:color="auto"/>
              <w:lef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0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Estimated Aggregate Number</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left w:val="single" w:sz="8" w:color="auto"/>
            </w:tcBorders>
          </w:tcPr>
          <w:p>
            <w:pPr>
              <w:spacing w:after="0"/>
              <w:rPr>
                <w:sz w:val="18"/>
                <w:szCs w:val="18"/>
                <w:color w:val="auto"/>
              </w:rPr>
            </w:pPr>
          </w:p>
        </w:tc>
        <w:tc>
          <w:tcPr>
            <w:tcW w:w="13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940" w:type="dxa"/>
            <w:vAlign w:val="bottom"/>
          </w:tcPr>
          <w:p>
            <w:pPr>
              <w:spacing w:after="0"/>
              <w:rPr>
                <w:sz w:val="18"/>
                <w:szCs w:val="18"/>
                <w:color w:val="auto"/>
              </w:rPr>
            </w:pPr>
          </w:p>
        </w:tc>
        <w:tc>
          <w:tcPr>
            <w:tcW w:w="13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Title</w:t>
            </w:r>
          </w:p>
        </w:tc>
        <w:tc>
          <w:tcPr>
            <w:tcW w:w="480" w:type="dxa"/>
            <w:vAlign w:val="bottom"/>
          </w:tcPr>
          <w:p>
            <w:pPr>
              <w:spacing w:after="0"/>
              <w:rPr>
                <w:sz w:val="18"/>
                <w:szCs w:val="18"/>
                <w:color w:val="auto"/>
              </w:rPr>
            </w:pPr>
          </w:p>
        </w:tc>
        <w:tc>
          <w:tcPr>
            <w:tcW w:w="17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Date of Adoption</w:t>
            </w:r>
          </w:p>
        </w:tc>
        <w:tc>
          <w:tcPr>
            <w:tcW w:w="40" w:type="dxa"/>
            <w:vAlign w:val="bottom"/>
          </w:tcPr>
          <w:p>
            <w:pPr>
              <w:spacing w:after="0"/>
              <w:rPr>
                <w:sz w:val="18"/>
                <w:szCs w:val="18"/>
                <w:color w:val="auto"/>
              </w:rPr>
            </w:pPr>
          </w:p>
        </w:tc>
        <w:tc>
          <w:tcPr>
            <w:tcW w:w="21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of Subordinate Voting Shares</w:t>
            </w:r>
          </w:p>
        </w:tc>
        <w:tc>
          <w:tcPr>
            <w:tcW w:w="20" w:type="dxa"/>
            <w:vAlign w:val="bottom"/>
            <w:tcBorders>
              <w:top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Expiration Date</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1340" w:type="dxa"/>
            <w:vAlign w:val="bottom"/>
            <w:tcBorders>
              <w:right w:val="single" w:sz="8" w:color="auto"/>
            </w:tcBorders>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Borders>
              <w:right w:val="single" w:sz="8" w:color="auto"/>
            </w:tcBorders>
            <w:gridSpan w:val="4"/>
          </w:tcPr>
          <w:p>
            <w:pPr>
              <w:jc w:val="center"/>
              <w:ind w:right="860"/>
              <w:spacing w:after="0" w:line="182" w:lineRule="exact"/>
              <w:rPr>
                <w:sz w:val="20"/>
                <w:szCs w:val="20"/>
                <w:color w:val="auto"/>
              </w:rPr>
            </w:pPr>
            <w:r>
              <w:rPr>
                <w:rFonts w:ascii="Times New Roman" w:cs="Times New Roman" w:eastAsia="Times New Roman" w:hAnsi="Times New Roman"/>
                <w:sz w:val="18"/>
                <w:szCs w:val="18"/>
                <w:color w:val="auto"/>
                <w:w w:val="99"/>
              </w:rPr>
              <w:t>for Sale</w:t>
            </w:r>
          </w:p>
        </w:tc>
        <w:tc>
          <w:tcPr>
            <w:tcW w:w="460" w:type="dxa"/>
            <w:vAlign w:val="bottom"/>
          </w:tcPr>
          <w:p>
            <w:pPr>
              <w:spacing w:after="0"/>
              <w:rPr>
                <w:sz w:val="18"/>
                <w:szCs w:val="18"/>
                <w:color w:val="auto"/>
              </w:rPr>
            </w:pPr>
          </w:p>
        </w:tc>
        <w:tc>
          <w:tcPr>
            <w:tcW w:w="17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20" w:type="dxa"/>
            <w:vAlign w:val="bottom"/>
            <w:tcBorders>
              <w:left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92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Chair of the Board and Chief</w:t>
            </w:r>
          </w:p>
        </w:tc>
        <w:tc>
          <w:tcPr>
            <w:tcW w:w="224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September 15, 2025</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3,000,000</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1"/>
        </w:trPr>
        <w:tc>
          <w:tcPr>
            <w:tcW w:w="2260" w:type="dxa"/>
            <w:vAlign w:val="bottom"/>
            <w:tcBorders>
              <w:left w:val="single" w:sz="8" w:color="auto"/>
              <w:bottom w:val="single" w:sz="8" w:color="auto"/>
              <w:right w:val="single" w:sz="8" w:color="auto"/>
            </w:tcBorders>
            <w:gridSpan w:val="3"/>
          </w:tcPr>
          <w:p>
            <w:pPr>
              <w:ind w:left="40"/>
              <w:spacing w:after="0" w:line="262" w:lineRule="exact"/>
              <w:rPr>
                <w:sz w:val="20"/>
                <w:szCs w:val="20"/>
                <w:color w:val="auto"/>
              </w:rPr>
            </w:pPr>
            <w:r>
              <w:rPr>
                <w:rFonts w:ascii="Times New Roman" w:cs="Times New Roman" w:eastAsia="Times New Roman" w:hAnsi="Times New Roman"/>
                <w:sz w:val="18"/>
                <w:szCs w:val="18"/>
                <w:color w:val="auto"/>
              </w:rPr>
              <w:t>George Archos</w:t>
            </w:r>
            <w:r>
              <w:rPr>
                <w:rFonts w:ascii="Times New Roman" w:cs="Times New Roman" w:eastAsia="Times New Roman" w:hAnsi="Times New Roman"/>
                <w:sz w:val="23"/>
                <w:szCs w:val="23"/>
                <w:color w:val="auto"/>
                <w:vertAlign w:val="superscript"/>
              </w:rPr>
              <w:t>(2)</w:t>
            </w: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26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Laura Marie Kalesnik</w:t>
            </w:r>
            <w:r>
              <w:rPr>
                <w:rFonts w:ascii="Times New Roman" w:cs="Times New Roman" w:eastAsia="Times New Roman" w:hAnsi="Times New Roman"/>
                <w:sz w:val="23"/>
                <w:szCs w:val="23"/>
                <w:color w:val="auto"/>
                <w:vertAlign w:val="superscript"/>
              </w:rPr>
              <w:t>(3)</w:t>
            </w: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Chief Legal Officer, General</w:t>
            </w:r>
          </w:p>
        </w:tc>
        <w:tc>
          <w:tcPr>
            <w:tcW w:w="224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September 10, 2025</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176,799</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0" w:type="dxa"/>
            <w:vAlign w:val="bottom"/>
          </w:tcPr>
          <w:p>
            <w:pPr>
              <w:spacing w:after="0"/>
              <w:rPr>
                <w:sz w:val="1"/>
                <w:szCs w:val="1"/>
                <w:color w:val="auto"/>
              </w:rPr>
            </w:pPr>
          </w:p>
        </w:tc>
      </w:tr>
      <w:tr>
        <w:trPr>
          <w:trHeight w:val="261"/>
        </w:trPr>
        <w:tc>
          <w:tcPr>
            <w:tcW w:w="2260" w:type="dxa"/>
            <w:vAlign w:val="bottom"/>
            <w:tcBorders>
              <w:left w:val="single" w:sz="8" w:color="auto"/>
              <w:bottom w:val="single" w:sz="8" w:color="auto"/>
              <w:right w:val="single" w:sz="8" w:color="auto"/>
            </w:tcBorders>
            <w:gridSpan w:val="3"/>
            <w:vMerge w:val="continue"/>
          </w:tcPr>
          <w:p>
            <w:pPr>
              <w:spacing w:after="0"/>
              <w:rPr>
                <w:sz w:val="22"/>
                <w:szCs w:val="22"/>
                <w:color w:val="auto"/>
              </w:rPr>
            </w:pP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Counsel and Secretary</w:t>
            </w: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Edward McDermott</w:t>
            </w:r>
            <w:r>
              <w:rPr>
                <w:rFonts w:ascii="Times New Roman" w:cs="Times New Roman" w:eastAsia="Times New Roman" w:hAnsi="Times New Roman"/>
                <w:sz w:val="23"/>
                <w:szCs w:val="23"/>
                <w:color w:val="auto"/>
                <w:vertAlign w:val="superscript"/>
              </w:rPr>
              <w:t>(4)</w:t>
            </w: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September 5, 2025</w:t>
            </w: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36,668</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77"/>
        </w:trPr>
        <w:tc>
          <w:tcPr>
            <w:tcW w:w="2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David Spreckman</w:t>
            </w:r>
            <w:r>
              <w:rPr>
                <w:rFonts w:ascii="Times New Roman" w:cs="Times New Roman" w:eastAsia="Times New Roman" w:hAnsi="Times New Roman"/>
                <w:sz w:val="23"/>
                <w:szCs w:val="23"/>
                <w:color w:val="auto"/>
                <w:vertAlign w:val="superscript"/>
              </w:rPr>
              <w:t>(4)</w:t>
            </w: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Chief Marketing Officer</w:t>
            </w: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August 19, 2025</w:t>
            </w: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31,230</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32"/>
        </w:trPr>
        <w:tc>
          <w:tcPr>
            <w:tcW w:w="226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John Tipton</w:t>
            </w:r>
            <w:r>
              <w:rPr>
                <w:rFonts w:ascii="Times New Roman" w:cs="Times New Roman" w:eastAsia="Times New Roman" w:hAnsi="Times New Roman"/>
                <w:sz w:val="23"/>
                <w:szCs w:val="23"/>
                <w:color w:val="auto"/>
                <w:vertAlign w:val="superscript"/>
              </w:rPr>
              <w:t>(5)</w:t>
            </w: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Director and President of the</w:t>
            </w:r>
          </w:p>
        </w:tc>
        <w:tc>
          <w:tcPr>
            <w:tcW w:w="224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September 5, 2025</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36,313</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61"/>
        </w:trPr>
        <w:tc>
          <w:tcPr>
            <w:tcW w:w="2260" w:type="dxa"/>
            <w:vAlign w:val="bottom"/>
            <w:tcBorders>
              <w:left w:val="single" w:sz="8" w:color="auto"/>
              <w:bottom w:val="single" w:sz="8" w:color="auto"/>
              <w:right w:val="single" w:sz="8" w:color="auto"/>
            </w:tcBorders>
            <w:gridSpan w:val="3"/>
            <w:vMerge w:val="continue"/>
          </w:tcPr>
          <w:p>
            <w:pPr>
              <w:spacing w:after="0"/>
              <w:rPr>
                <w:sz w:val="22"/>
                <w:szCs w:val="22"/>
                <w:color w:val="auto"/>
              </w:rPr>
            </w:pP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Southern Region</w:t>
            </w: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26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John Tipton</w:t>
            </w:r>
            <w:r>
              <w:rPr>
                <w:rFonts w:ascii="Times New Roman" w:cs="Times New Roman" w:eastAsia="Times New Roman" w:hAnsi="Times New Roman"/>
                <w:sz w:val="23"/>
                <w:szCs w:val="23"/>
                <w:color w:val="auto"/>
                <w:vertAlign w:val="superscript"/>
              </w:rPr>
              <w:t>(2)</w:t>
            </w:r>
          </w:p>
        </w:tc>
        <w:tc>
          <w:tcPr>
            <w:tcW w:w="22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Director and President of the</w:t>
            </w:r>
          </w:p>
        </w:tc>
        <w:tc>
          <w:tcPr>
            <w:tcW w:w="224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September 5, 2025</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75,000</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1"/>
        </w:trPr>
        <w:tc>
          <w:tcPr>
            <w:tcW w:w="2260" w:type="dxa"/>
            <w:vAlign w:val="bottom"/>
            <w:tcBorders>
              <w:left w:val="single" w:sz="8" w:color="auto"/>
              <w:bottom w:val="single" w:sz="8" w:color="auto"/>
              <w:right w:val="single" w:sz="8" w:color="auto"/>
            </w:tcBorders>
            <w:gridSpan w:val="3"/>
            <w:vMerge w:val="continue"/>
          </w:tcPr>
          <w:p>
            <w:pPr>
              <w:spacing w:after="0"/>
              <w:rPr>
                <w:sz w:val="22"/>
                <w:szCs w:val="22"/>
                <w:color w:val="auto"/>
              </w:rPr>
            </w:pPr>
          </w:p>
        </w:tc>
        <w:tc>
          <w:tcPr>
            <w:tcW w:w="22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Southern Region</w:t>
            </w: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2240" w:type="dxa"/>
            <w:vAlign w:val="bottom"/>
            <w:tcBorders>
              <w:bottom w:val="single" w:sz="8" w:color="auto"/>
              <w:right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plans are subject to earlier termination in the event of certain limited circumstances described in the plans.</w:t>
      </w:r>
    </w:p>
    <w:p>
      <w:pPr>
        <w:spacing w:after="0" w:line="30" w:lineRule="exact"/>
        <w:rPr>
          <w:rFonts w:ascii="Times New Roman" w:cs="Times New Roman" w:eastAsia="Times New Roman" w:hAnsi="Times New Roman"/>
          <w:sz w:val="22"/>
          <w:szCs w:val="22"/>
          <w:color w:val="auto"/>
          <w:vertAlign w:val="superscript"/>
        </w:rPr>
      </w:pPr>
    </w:p>
    <w:p>
      <w:pPr>
        <w:ind w:left="180" w:hanging="172"/>
        <w:spacing w:after="0" w:line="189" w:lineRule="auto"/>
        <w:tabs>
          <w:tab w:leader="none" w:pos="1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Sales under the plan are subject to minimum sale price requirements.</w:t>
      </w:r>
    </w:p>
    <w:p>
      <w:pPr>
        <w:spacing w:after="0" w:line="30" w:lineRule="exact"/>
        <w:rPr>
          <w:rFonts w:ascii="Times New Roman" w:cs="Times New Roman" w:eastAsia="Times New Roman" w:hAnsi="Times New Roman"/>
          <w:sz w:val="19"/>
          <w:szCs w:val="19"/>
          <w:color w:val="auto"/>
          <w:vertAlign w:val="superscript"/>
        </w:rPr>
      </w:pPr>
    </w:p>
    <w:p>
      <w:pPr>
        <w:ind w:right="260" w:firstLine="8"/>
        <w:spacing w:after="0" w:line="201" w:lineRule="auto"/>
        <w:tabs>
          <w:tab w:leader="none" w:pos="181"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plan covers sales pursuant to “sell-to-cover” instructions given by the Company to satisfy withholding tax obligations and additional sales subject to minimum sale price requirements. Amounts assume that the Company provides such “sell-to-cover” tax withholding instructions.</w:t>
      </w:r>
    </w:p>
    <w:p>
      <w:pPr>
        <w:spacing w:after="0" w:line="1" w:lineRule="exact"/>
        <w:rPr>
          <w:rFonts w:ascii="Times New Roman" w:cs="Times New Roman" w:eastAsia="Times New Roman" w:hAnsi="Times New Roman"/>
          <w:sz w:val="22"/>
          <w:szCs w:val="22"/>
          <w:color w:val="auto"/>
          <w:vertAlign w:val="superscript"/>
        </w:rPr>
      </w:pPr>
    </w:p>
    <w:p>
      <w:pPr>
        <w:ind w:right="200" w:firstLine="8"/>
        <w:spacing w:after="0" w:line="210" w:lineRule="auto"/>
        <w:tabs>
          <w:tab w:leader="none" w:pos="181"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plan covers sales pursuant to “sell-to-cover” instructions given by the Company to satisfy withholding tax obligations and additional sales. Amounts assume that the Company provides such “sell-to-cover” tax withholding instructions.</w:t>
      </w:r>
    </w:p>
    <w:p>
      <w:pPr>
        <w:spacing w:after="0" w:line="2" w:lineRule="exact"/>
        <w:rPr>
          <w:rFonts w:ascii="Times New Roman" w:cs="Times New Roman" w:eastAsia="Times New Roman" w:hAnsi="Times New Roman"/>
          <w:sz w:val="22"/>
          <w:szCs w:val="22"/>
          <w:color w:val="auto"/>
          <w:vertAlign w:val="superscript"/>
        </w:rPr>
      </w:pPr>
    </w:p>
    <w:p>
      <w:pPr>
        <w:ind w:right="120" w:firstLine="8"/>
        <w:spacing w:after="0" w:line="203" w:lineRule="auto"/>
        <w:tabs>
          <w:tab w:leader="none" w:pos="181"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plan covers sales pursuant to “sell-to-cover” instructions given by the Company to satisfy withholding tax obligations. No additional sales are covered by this plan. Amounts assume that the Company provides such “sell-to-cover” tax withholding instructions.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9"/>
                <w:szCs w:val="19"/>
                <w:color w:val="auto"/>
              </w:rPr>
            </w:pPr>
          </w:p>
        </w:tc>
        <w:tc>
          <w:tcPr>
            <w:tcW w:w="99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3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920" w:type="dxa"/>
            <w:vAlign w:val="bottom"/>
            <w:gridSpan w:val="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Articles of Verano Holdings Corp., dated February 11, 2021 (filed as Exhibit 3.1 to our Registration Statement on Form 10 filed on April</w:t>
              </w:r>
            </w:hyperlink>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26, 2022 (File No. 000-56342) and incorporated herein by reference).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Notice of Articles of Verano Holdings Corp., dated February 11, 2021 (filed as Exhibit 3.2 to our Registration Statement on Form 10</w:t>
              </w:r>
            </w:hyperlink>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filed on April 26, 2022 (File No. 000-56342) and incorporated herein by reference).</w:t>
              </w:r>
            </w:hyperlink>
          </w:p>
        </w:tc>
        <w:tc>
          <w:tcPr>
            <w:tcW w:w="3840" w:type="dxa"/>
            <w:vAlign w:val="bottom"/>
            <w:tcBorders>
              <w:top w:val="single" w:sz="8" w:color="0000FF"/>
            </w:tcBorders>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Credit Agreement, dated September 30, 2025, by and among Verano Holdings Corp., certain subsidiaries of Verano Holdings Corp. from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time-to-time party thereto, certain lenders from time-to-time party thereto, and Chicago Atlantic Admin, LLC, as administrative agent for</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9"/>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the lenders (filed as Exhibit 10.1 to our Current Report on Form 8-K filed on October 1, 2025 (File No. 000-56342) and incorporated</w:t>
              </w:r>
            </w:hyperlink>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herein by reference).</w:t>
              </w:r>
            </w:hyperlink>
          </w:p>
        </w:tc>
        <w:tc>
          <w:tcPr>
            <w:tcW w:w="8380" w:type="dxa"/>
            <w:vAlign w:val="bottom"/>
            <w:tcBorders>
              <w:top w:val="single" w:sz="8" w:color="0000FF"/>
            </w:tcBorders>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920" w:type="dxa"/>
            <w:vAlign w:val="bottom"/>
            <w:gridSpan w:val="9"/>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Consulting Agreement dated August 4, 2025 by and between Verano Holdings Corp. and Darren Weiss (filed as Exhibit 10.4 to our</w:t>
              </w:r>
            </w:hyperlink>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Quarterly Report on Form 10-Q filed on August 7, 2025 (File No. 000-56342) and incorporated herein by reference).</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520" w:type="dxa"/>
            <w:vAlign w:val="bottom"/>
            <w:gridSpan w:val="4"/>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amended.</w:t>
            </w:r>
          </w:p>
        </w:tc>
        <w:tc>
          <w:tcPr>
            <w:tcW w:w="9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120" w:hanging="1094"/>
        <w:spacing w:after="0"/>
        <w:tabs>
          <w:tab w:leader="none" w:pos="11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71" w:lineRule="exact"/>
        <w:rPr>
          <w:sz w:val="20"/>
          <w:szCs w:val="20"/>
          <w:color w:val="auto"/>
        </w:rPr>
      </w:pPr>
    </w:p>
    <w:p>
      <w:pPr>
        <w:ind w:left="1120" w:hanging="1094"/>
        <w:spacing w:after="0"/>
        <w:tabs>
          <w:tab w:leader="none" w:pos="11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71"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71" w:lineRule="exact"/>
        <w:rPr>
          <w:sz w:val="20"/>
          <w:szCs w:val="20"/>
          <w:color w:val="auto"/>
        </w:rPr>
      </w:pPr>
    </w:p>
    <w:p>
      <w:pPr>
        <w:ind w:left="1120" w:hanging="1094"/>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171" w:lineRule="exact"/>
        <w:rPr>
          <w:sz w:val="20"/>
          <w:szCs w:val="20"/>
          <w:color w:val="auto"/>
        </w:rPr>
      </w:pPr>
    </w:p>
    <w:p>
      <w:pPr>
        <w:ind w:left="1120" w:right="20" w:hanging="1094"/>
        <w:spacing w:after="0" w:line="297" w:lineRule="auto"/>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contained in this exhibit has been omitted pursuant to 601(b)(10) because such information (i) is not material and (ii) is the type of information that the Company both customarily and actually treats as private and confidential.</w:t>
      </w:r>
    </w:p>
    <w:p>
      <w:pPr>
        <w:spacing w:after="0" w:line="82" w:lineRule="exact"/>
        <w:rPr>
          <w:sz w:val="20"/>
          <w:szCs w:val="20"/>
          <w:color w:val="auto"/>
        </w:rPr>
      </w:pPr>
    </w:p>
    <w:p>
      <w:pPr>
        <w:ind w:left="1120" w:right="40" w:hanging="1094"/>
        <w:spacing w:after="0" w:line="297" w:lineRule="auto"/>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601(b)(2) of Regulation S-K. The Company hereby agrees to furnish supplementally a copy of any omitted schedule to the SEC upon request.</w:t>
      </w:r>
    </w:p>
    <w:p>
      <w:pPr>
        <w:sectPr>
          <w:pgSz w:w="11900" w:h="16838" w:orient="portrait"/>
          <w:cols w:equalWidth="0" w:num="1">
            <w:col w:w="11040"/>
          </w:cols>
          <w:pgMar w:left="320" w:top="29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97" w:right="5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2025</w:t>
      </w: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35" w:lineRule="exact"/>
        <w:rPr>
          <w:sz w:val="20"/>
          <w:szCs w:val="20"/>
          <w:color w:val="auto"/>
        </w:rPr>
      </w:pPr>
    </w:p>
    <w:tbl>
      <w:tblPr>
        <w:tblLayout w:type="fixed"/>
        <w:tblInd w:w="5540" w:type="dxa"/>
        <w:tblCellMar>
          <w:top w:w="0" w:type="dxa"/>
          <w:left w:w="0" w:type="dxa"/>
          <w:bottom w:w="0" w:type="dxa"/>
          <w:right w:w="0" w:type="dxa"/>
        </w:tblCellMar>
      </w:tblP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George Archos</w:t>
            </w:r>
          </w:p>
        </w:tc>
      </w:tr>
      <w:tr>
        <w:trPr>
          <w:trHeight w:val="40"/>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Archos</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Richard Tarapchak</w:t>
            </w:r>
          </w:p>
        </w:tc>
      </w:tr>
      <w:tr>
        <w:trPr>
          <w:trHeight w:val="40"/>
        </w:trPr>
        <w:tc>
          <w:tcPr>
            <w:tcW w:w="78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Tarapchak</w:t>
            </w:r>
          </w:p>
        </w:tc>
      </w:tr>
      <w:tr>
        <w:trPr>
          <w:trHeight w:val="28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3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720" w:type="dxa"/>
            <w:vAlign w:val="bottom"/>
          </w:tcPr>
          <w:p>
            <w:pPr>
              <w:spacing w:after="0"/>
              <w:rPr>
                <w:sz w:val="24"/>
                <w:szCs w:val="24"/>
                <w:color w:val="auto"/>
              </w:rPr>
            </w:pPr>
          </w:p>
        </w:tc>
      </w:tr>
    </w:tbl>
    <w:p>
      <w:pPr>
        <w:sectPr>
          <w:pgSz w:w="11900" w:h="16838" w:orient="portrait"/>
          <w:cols w:equalWidth="0" w:num="1">
            <w:col w:w="11240"/>
          </w:cols>
          <w:pgMar w:left="320" w:top="29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Archos, certify that:</w:t>
      </w:r>
    </w:p>
    <w:p>
      <w:pPr>
        <w:spacing w:after="0" w:line="239" w:lineRule="exact"/>
        <w:rPr>
          <w:sz w:val="20"/>
          <w:szCs w:val="20"/>
          <w:color w:val="auto"/>
        </w:rPr>
      </w:pPr>
    </w:p>
    <w:p>
      <w:pPr>
        <w:ind w:left="1100" w:hanging="363"/>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257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6"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Tarapchak, certify that:</w:t>
      </w:r>
    </w:p>
    <w:p>
      <w:pPr>
        <w:spacing w:after="0" w:line="239" w:lineRule="exact"/>
        <w:rPr>
          <w:sz w:val="20"/>
          <w:szCs w:val="20"/>
          <w:color w:val="auto"/>
        </w:rPr>
      </w:pPr>
    </w:p>
    <w:p>
      <w:pPr>
        <w:ind w:left="1100" w:hanging="363"/>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Verano Holdings Corp.;</w:t>
      </w:r>
    </w:p>
    <w:p>
      <w:pPr>
        <w:spacing w:after="0" w:line="238" w:lineRule="exact"/>
        <w:rPr>
          <w:rFonts w:ascii="Times New Roman" w:cs="Times New Roman" w:eastAsia="Times New Roman" w:hAnsi="Times New Roman"/>
          <w:sz w:val="18"/>
          <w:szCs w:val="18"/>
          <w:color w:val="auto"/>
        </w:rPr>
      </w:pPr>
    </w:p>
    <w:p>
      <w:pPr>
        <w:jc w:val="both"/>
        <w:ind w:left="740" w:hanging="3"/>
        <w:spacing w:after="0" w:line="250" w:lineRule="auto"/>
        <w:tabs>
          <w:tab w:leader="none" w:pos="11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40" w:hanging="3"/>
        <w:spacing w:after="0" w:line="266" w:lineRule="auto"/>
        <w:tabs>
          <w:tab w:leader="none" w:pos="12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hanging="3"/>
        <w:spacing w:after="0" w:line="246" w:lineRule="auto"/>
        <w:tabs>
          <w:tab w:leader="none" w:pos="11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18"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50" w:lineRule="auto"/>
        <w:tabs>
          <w:tab w:leader="none" w:pos="16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jc w:val="both"/>
        <w:ind w:left="1380" w:firstLine="5"/>
        <w:spacing w:after="0" w:line="242" w:lineRule="auto"/>
        <w:tabs>
          <w:tab w:leader="none" w:pos="16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Times New Roman" w:cs="Times New Roman" w:eastAsia="Times New Roman" w:hAnsi="Times New Roman"/>
          <w:sz w:val="18"/>
          <w:szCs w:val="18"/>
          <w:color w:val="auto"/>
        </w:rPr>
      </w:pPr>
    </w:p>
    <w:p>
      <w:pPr>
        <w:ind w:left="740" w:hanging="3"/>
        <w:spacing w:after="0" w:line="266" w:lineRule="auto"/>
        <w:tabs>
          <w:tab w:leader="none" w:pos="110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80" w:firstLine="5"/>
        <w:spacing w:after="0" w:line="266" w:lineRule="auto"/>
        <w:tabs>
          <w:tab w:leader="none" w:pos="16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6" w:right="339" w:bottom="1440" w:gutter="0" w:footer="0" w:header="0"/>
        </w:sectPr>
      </w:pPr>
    </w:p>
    <w:bookmarkStart w:id="56" w:name="page57"/>
    <w:bookmarkEnd w:id="56"/>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and nine months ended September 30, 2025 as filed with the Securities and Exchange Commission on the date hereof (the “Report”), I, George Archos, Chief Executive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George Archos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George Archos</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57" w:name="page58"/>
    <w:bookmarkEnd w:id="57"/>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Verano Holdings Corp. (the “Company”) for the three and nine months ended September 30, 2025 as filed with the Securities and Exchange Commission on the date hereof (the “Report”), I, Richard Tarapchak, Chief Financial Officer of the Company, certify pursuant to 18 U.S.C. Section 1350, as adopted pursuant to Section 906 of the Sarbanes-Oxley Act of 2002, that, to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/s/ Richard Tarapchak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Richard Tarapchak</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lvl w:ilvl="1">
      <w:lvlJc w:val="left"/>
      <w:lvlText w:val="(%2)"/>
      <w:numFmt w:val="lowerLetter"/>
      <w:start w:val="1"/>
    </w:lvl>
  </w:abstractNum>
  <w:abstractNum w:abstractNumId="6">
    <w:nsid w:val="333AB1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
    <w:nsid w:val="721DA317"/>
    <w:multiLevelType w:val="hybridMultilevel"/>
    <w:lvl w:ilvl="0">
      <w:lvlJc w:val="left"/>
      <w:lvlText w:val="%1."/>
      <w:numFmt w:val="decimal"/>
      <w:start w:val="1"/>
    </w:lvl>
    <w:lvl w:ilvl="1">
      <w:lvlJc w:val="left"/>
      <w:lvlText w:val="(%2)"/>
      <w:numFmt w:val="lowerLetter"/>
      <w:start w:val="6"/>
    </w:lvl>
  </w:abstractNum>
  <w:abstractNum w:abstractNumId="8">
    <w:nsid w:val="2443A858"/>
    <w:multiLevelType w:val="hybridMultilevel"/>
    <w:lvl w:ilvl="0">
      <w:lvlJc w:val="left"/>
      <w:lvlText w:val="%1."/>
      <w:numFmt w:val="decimal"/>
      <w:start w:val="2"/>
    </w:lvl>
  </w:abstractNum>
  <w:abstractNum w:abstractNumId="9">
    <w:nsid w:val="2D1D5AE9"/>
    <w:multiLevelType w:val="hybridMultilevel"/>
    <w:lvl w:ilvl="0">
      <w:lvlJc w:val="left"/>
      <w:lvlText w:val="%1."/>
      <w:numFmt w:val="decimal"/>
      <w:start w:val="3"/>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1."/>
      <w:numFmt w:val="decimal"/>
      <w:start w:val="5"/>
    </w:lvl>
  </w:abstractNum>
  <w:abstractNum w:abstractNumId="13">
    <w:nsid w:val="79838CB2"/>
    <w:multiLevelType w:val="hybridMultilevel"/>
    <w:lvl w:ilvl="0">
      <w:lvlJc w:val="left"/>
      <w:lvlText w:val="%1."/>
      <w:numFmt w:val="decimal"/>
      <w:start w:val="6"/>
    </w:lvl>
  </w:abstractNum>
  <w:abstractNum w:abstractNumId="14">
    <w:nsid w:val="4353D0CD"/>
    <w:multiLevelType w:val="hybridMultilevel"/>
    <w:lvl w:ilvl="0">
      <w:lvlJc w:val="left"/>
      <w:lvlText w:val="%1."/>
      <w:numFmt w:val="decimal"/>
      <w:start w:val="6"/>
    </w:lvl>
  </w:abstractNum>
  <w:abstractNum w:abstractNumId="15">
    <w:nsid w:val="B03E0C6"/>
    <w:multiLevelType w:val="hybridMultilevel"/>
    <w:lvl w:ilvl="0">
      <w:lvlJc w:val="left"/>
      <w:lvlText w:val="%1."/>
      <w:numFmt w:val="decimal"/>
      <w:start w:val="6"/>
    </w:lvl>
  </w:abstractNum>
  <w:abstractNum w:abstractNumId="16">
    <w:nsid w:val="189A769B"/>
    <w:multiLevelType w:val="hybridMultilevel"/>
    <w:lvl w:ilvl="0">
      <w:lvlJc w:val="left"/>
      <w:lvlText w:val="%1."/>
      <w:numFmt w:val="decimal"/>
      <w:start w:val="7"/>
    </w:lvl>
  </w:abstractNum>
  <w:abstractNum w:abstractNumId="17">
    <w:nsid w:val="54E49EB4"/>
    <w:multiLevelType w:val="hybridMultilevel"/>
    <w:lvl w:ilvl="0">
      <w:lvlJc w:val="left"/>
      <w:lvlText w:val="%1."/>
      <w:numFmt w:val="decimal"/>
      <w:start w:val="7"/>
    </w:lvl>
  </w:abstractNum>
  <w:abstractNum w:abstractNumId="18">
    <w:nsid w:val="71F32454"/>
    <w:multiLevelType w:val="hybridMultilevel"/>
    <w:lvl w:ilvl="0">
      <w:lvlJc w:val="left"/>
      <w:lvlText w:val="%1."/>
      <w:numFmt w:val="decimal"/>
      <w:start w:val="7"/>
    </w:lvl>
  </w:abstractNum>
  <w:abstractNum w:abstractNumId="19">
    <w:nsid w:val="2CA88611"/>
    <w:multiLevelType w:val="hybridMultilevel"/>
    <w:lvl w:ilvl="0">
      <w:lvlJc w:val="left"/>
      <w:lvlText w:val="%1."/>
      <w:numFmt w:val="decimal"/>
      <w:start w:val="8"/>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decimal"/>
      <w:start w:val="8"/>
    </w:lvl>
  </w:abstractNum>
  <w:abstractNum w:abstractNumId="22">
    <w:nsid w:val="3A95F874"/>
    <w:multiLevelType w:val="hybridMultilevel"/>
    <w:lvl w:ilvl="0">
      <w:lvlJc w:val="left"/>
      <w:lvlText w:val="%1."/>
      <w:numFmt w:val="decimal"/>
      <w:start w:val="9"/>
    </w:lvl>
  </w:abstractNum>
  <w:abstractNum w:abstractNumId="23">
    <w:nsid w:val="8138641"/>
    <w:multiLevelType w:val="hybridMultilevel"/>
    <w:lvl w:ilvl="0">
      <w:lvlJc w:val="left"/>
      <w:lvlText w:val="%1."/>
      <w:numFmt w:val="decimal"/>
      <w:start w:val="11"/>
    </w:lvl>
    <w:lvl w:ilvl="1">
      <w:lvlJc w:val="left"/>
      <w:lvlText w:val="(%2)"/>
      <w:numFmt w:val="lowerLetter"/>
      <w:start w:val="1"/>
    </w:lvl>
  </w:abstractNum>
  <w:abstractNum w:abstractNumId="24">
    <w:nsid w:val="1E7FF521"/>
    <w:multiLevelType w:val="hybridMultilevel"/>
    <w:lvl w:ilvl="0">
      <w:lvlJc w:val="left"/>
      <w:lvlText w:val="%1."/>
      <w:numFmt w:val="decimal"/>
      <w:start w:val="11"/>
    </w:lvl>
    <w:lvl w:ilvl="1">
      <w:lvlJc w:val="left"/>
      <w:lvlText w:val="(%2)"/>
      <w:numFmt w:val="lowerLetter"/>
      <w:start w:val="2"/>
    </w:lvl>
  </w:abstractNum>
  <w:abstractNum w:abstractNumId="25">
    <w:nsid w:val="7C3DBD3D"/>
    <w:multiLevelType w:val="hybridMultilevel"/>
    <w:lvl w:ilvl="0">
      <w:lvlJc w:val="left"/>
      <w:lvlText w:val="%1."/>
      <w:numFmt w:val="decimal"/>
      <w:start w:val="12"/>
    </w:lvl>
  </w:abstractNum>
  <w:abstractNum w:abstractNumId="26">
    <w:nsid w:val="737B8DDC"/>
    <w:multiLevelType w:val="hybridMultilevel"/>
    <w:lvl w:ilvl="0">
      <w:lvlJc w:val="left"/>
      <w:lvlText w:val="1"/>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97" Type="http://schemas.openxmlformats.org/officeDocument/2006/relationships/hyperlink" Target="https://www.sec.gov/Archives/edgar/data/1848416/000149315222011243/ex3-1.htm" TargetMode="External"/><Relationship Id="rId98" Type="http://schemas.openxmlformats.org/officeDocument/2006/relationships/hyperlink" Target="https://www.sec.gov/Archives/edgar/data/1848416/000149315222011243/ex3-2.htm" TargetMode="External"/><Relationship Id="rId99" Type="http://schemas.openxmlformats.org/officeDocument/2006/relationships/hyperlink" Target="https://www.sec.gov/Archives/edgar/data/0001848416/000149315225016466/ex10-1.htm" TargetMode="External"/><Relationship Id="rId100" Type="http://schemas.openxmlformats.org/officeDocument/2006/relationships/hyperlink" Target="https://www.sec.gov/Archives/edgar/data/0001848416/000162828025038589/consultingagreement-exver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2025-10-29T06:21:49Z</dcterms:created>
  <dcterms:modified xsi:type="dcterms:W3CDTF">2025-10-29T06:21:49Z</dcterms:modified>
</cp:coreProperties>
</file>