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29, 2026</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VERANO HOLDINGS CORP.</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0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000-56342</w:t>
            </w: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98-1583243</w:t>
            </w:r>
          </w:p>
        </w:tc>
      </w:tr>
      <w:tr>
        <w:trPr>
          <w:trHeight w:val="214"/>
        </w:trPr>
        <w:tc>
          <w:tcPr>
            <w:tcW w:w="30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80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300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80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91"/>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224 W Hill Street, Suite 400,</w:t>
            </w:r>
          </w:p>
        </w:tc>
        <w:tc>
          <w:tcPr>
            <w:tcW w:w="280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Chicago, Illinois 60610</w:t>
            </w:r>
          </w:p>
        </w:tc>
        <w:tc>
          <w:tcPr>
            <w:tcW w:w="2800" w:type="dxa"/>
            <w:vAlign w:val="bottom"/>
          </w:tcPr>
          <w:p>
            <w:pPr>
              <w:spacing w:after="0"/>
              <w:rPr>
                <w:sz w:val="18"/>
                <w:szCs w:val="18"/>
                <w:color w:val="auto"/>
              </w:rPr>
            </w:pPr>
          </w:p>
        </w:tc>
      </w:tr>
      <w:tr>
        <w:trPr>
          <w:trHeight w:val="238"/>
        </w:trPr>
        <w:tc>
          <w:tcPr>
            <w:tcW w:w="30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2800" w:type="dxa"/>
            <w:vAlign w:val="bottom"/>
          </w:tcPr>
          <w:p>
            <w:pPr>
              <w:spacing w:after="0"/>
              <w:rPr>
                <w:sz w:val="20"/>
                <w:szCs w:val="20"/>
                <w:color w:val="auto"/>
              </w:rPr>
            </w:pPr>
          </w:p>
        </w:tc>
      </w:tr>
      <w:tr>
        <w:trPr>
          <w:trHeight w:val="369"/>
        </w:trPr>
        <w:tc>
          <w:tcPr>
            <w:tcW w:w="3000" w:type="dxa"/>
            <w:vAlign w:val="bottom"/>
          </w:tcPr>
          <w:p>
            <w:pPr>
              <w:spacing w:after="0"/>
              <w:rPr>
                <w:sz w:val="24"/>
                <w:szCs w:val="24"/>
                <w:color w:val="auto"/>
              </w:rPr>
            </w:pPr>
          </w:p>
        </w:tc>
        <w:tc>
          <w:tcPr>
            <w:tcW w:w="444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(312) 265-0730</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c>
          <w:tcPr>
            <w:tcW w:w="2800" w:type="dxa"/>
            <w:vAlign w:val="bottom"/>
          </w:tcPr>
          <w:p>
            <w:pPr>
              <w:spacing w:after="0"/>
              <w:rPr>
                <w:sz w:val="20"/>
                <w:szCs w:val="20"/>
                <w:color w:val="auto"/>
              </w:rPr>
            </w:pPr>
          </w:p>
        </w:tc>
      </w:tr>
      <w:tr>
        <w:trPr>
          <w:trHeight w:val="383"/>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N/A</w:t>
            </w:r>
          </w:p>
        </w:tc>
        <w:tc>
          <w:tcPr>
            <w:tcW w:w="2800" w:type="dxa"/>
            <w:vAlign w:val="bottom"/>
          </w:tcPr>
          <w:p>
            <w:pPr>
              <w:spacing w:after="0"/>
              <w:rPr>
                <w:sz w:val="24"/>
                <w:szCs w:val="24"/>
                <w:color w:val="auto"/>
              </w:rPr>
            </w:pPr>
          </w:p>
        </w:tc>
      </w:tr>
      <w:tr>
        <w:trPr>
          <w:trHeight w:val="238"/>
        </w:trPr>
        <w:tc>
          <w:tcPr>
            <w:tcW w:w="3000" w:type="dxa"/>
            <w:vAlign w:val="bottom"/>
          </w:tcPr>
          <w:p>
            <w:pPr>
              <w:spacing w:after="0"/>
              <w:rPr>
                <w:sz w:val="20"/>
                <w:szCs w:val="20"/>
                <w:color w:val="auto"/>
              </w:rPr>
            </w:pPr>
          </w:p>
        </w:tc>
        <w:tc>
          <w:tcPr>
            <w:tcW w:w="54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800" w:type="dxa"/>
            <w:vAlign w:val="bottom"/>
          </w:tcPr>
          <w:p>
            <w:pPr>
              <w:spacing w:after="0"/>
              <w:rPr>
                <w:sz w:val="20"/>
                <w:szCs w:val="20"/>
                <w:color w:val="auto"/>
              </w:rPr>
            </w:pPr>
          </w:p>
        </w:tc>
      </w:tr>
    </w:tbl>
    <w:p>
      <w:pPr>
        <w:spacing w:after="0" w:line="15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820" w:hanging="494"/>
        <w:spacing w:after="0"/>
        <w:tabs>
          <w:tab w:leader="none" w:pos="8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820" w:hanging="494"/>
        <w:spacing w:after="0"/>
        <w:tabs>
          <w:tab w:leader="none" w:pos="8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Wingdings" w:cs="Wingdings" w:eastAsia="Wingdings" w:hAnsi="Wingdings"/>
          <w:sz w:val="18"/>
          <w:szCs w:val="18"/>
          <w:b w:val="1"/>
          <w:bCs w:val="1"/>
          <w:color w:val="auto"/>
        </w:rPr>
      </w:pPr>
    </w:p>
    <w:p>
      <w:pPr>
        <w:ind w:left="820" w:hanging="494"/>
        <w:spacing w:after="0"/>
        <w:tabs>
          <w:tab w:leader="none" w:pos="8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Wingdings" w:cs="Wingdings" w:eastAsia="Wingdings" w:hAnsi="Wingdings"/>
          <w:sz w:val="18"/>
          <w:szCs w:val="18"/>
          <w:b w:val="1"/>
          <w:bCs w:val="1"/>
          <w:color w:val="auto"/>
        </w:rPr>
      </w:pPr>
    </w:p>
    <w:p>
      <w:pPr>
        <w:ind w:left="820" w:hanging="494"/>
        <w:spacing w:after="0"/>
        <w:tabs>
          <w:tab w:leader="none" w:pos="8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86"/>
        </w:trPr>
        <w:tc>
          <w:tcPr>
            <w:tcW w:w="45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880" w:type="dxa"/>
            <w:vAlign w:val="bottom"/>
            <w:tcBorders>
              <w:top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N/A</w:t>
            </w:r>
          </w:p>
        </w:tc>
        <w:tc>
          <w:tcPr>
            <w:tcW w:w="8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bl>
    <w:p>
      <w:pPr>
        <w:spacing w:after="0" w:line="243"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29, 2026, Verano Holdings Corp. (the “Company”) issued a press release (the “Earnings Press Release”) announcing its financial results for the quarter ended September 30, 2026. A copy of the Earnings Press Release is furnished as Exhibit 99.1 to this Form 8-K.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or the Exchange Act.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5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Earnings Press Release, dated October 29, 2026</w:t>
      </w:r>
    </w:p>
    <w:p>
      <w:pPr>
        <w:spacing w:after="0" w:line="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564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Richard Tarapchak</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Tarapchak</w:t>
            </w: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and Treasurer (Principal Financial</w:t>
            </w:r>
          </w:p>
        </w:tc>
      </w:tr>
      <w:tr>
        <w:trPr>
          <w:trHeight w:val="234"/>
        </w:trPr>
        <w:tc>
          <w:tcPr>
            <w:tcW w:w="80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927"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817245</wp:posOffset>
            </wp:positionV>
            <wp:extent cx="144018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440180" cy="342900"/>
                    </a:xfrm>
                    <a:prstGeom prst="rect">
                      <a:avLst/>
                    </a:prstGeom>
                    <a:noFill/>
                  </pic:spPr>
                </pic:pic>
              </a:graphicData>
            </a:graphic>
          </wp:anchor>
        </w:drawing>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Verano Announces Strong Third Quarter 2026 Financial Results</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Highlighted by $212 Million in Revenue and Year-Over-Year Organic Growth</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Company generates revenue increase of $10 million, or 5%, and highest level of cash flow from operations in four years</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CHICAGO, October 29, 2026 (GLOBE NEWSWIRE) – Verano Holdings Corp. (Cboe CA: VRNO) (OTCQX: VRNO) (“Verano” or the “Company”), a leading multi-state cannabis company, today announced its financial results for the third quarter ended September 30, 2026, which were prepared in accordance with U.S. Generally Accepted Accounting Principles (“U.S. GAAP”).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2026 Financial Highlights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0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40" w:type="dxa"/>
            <w:vAlign w:val="bottom"/>
          </w:tcPr>
          <w:p>
            <w:pPr>
              <w:spacing w:after="0"/>
              <w:rPr>
                <w:sz w:val="16"/>
                <w:szCs w:val="16"/>
                <w:color w:val="auto"/>
              </w:rPr>
            </w:pPr>
          </w:p>
        </w:tc>
        <w:tc>
          <w:tcPr>
            <w:tcW w:w="3840" w:type="dxa"/>
            <w:vAlign w:val="bottom"/>
            <w:gridSpan w:val="4"/>
          </w:tcPr>
          <w:p>
            <w:pPr>
              <w:jc w:val="right"/>
              <w:ind w:right="108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23"/>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8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98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Revenues, net of Discounts</w:t>
            </w: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212,443</w:t>
            </w:r>
          </w:p>
        </w:tc>
        <w:tc>
          <w:tcPr>
            <w:tcW w:w="100" w:type="dxa"/>
            <w:vAlign w:val="bottom"/>
          </w:tcPr>
          <w:p>
            <w:pPr>
              <w:spacing w:after="0"/>
              <w:rPr>
                <w:sz w:val="16"/>
                <w:szCs w:val="16"/>
                <w:color w:val="auto"/>
              </w:rPr>
            </w:pPr>
          </w:p>
        </w:tc>
        <w:tc>
          <w:tcPr>
            <w:tcW w:w="2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202,810</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638,539</w:t>
            </w: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614,891</w:t>
            </w: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95,237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298,713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307,802</w:t>
            </w:r>
          </w:p>
        </w:tc>
        <w:tc>
          <w:tcPr>
            <w:tcW w:w="0" w:type="dxa"/>
            <w:vAlign w:val="bottom"/>
          </w:tcPr>
          <w:p>
            <w:pPr>
              <w:spacing w:after="0"/>
              <w:rPr>
                <w:sz w:val="1"/>
                <w:szCs w:val="1"/>
                <w:color w:val="auto"/>
              </w:rPr>
            </w:pP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Income from Operations</w:t>
            </w: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50,490</w:t>
            </w:r>
          </w:p>
        </w:tc>
        <w:tc>
          <w:tcPr>
            <w:tcW w:w="0" w:type="dxa"/>
            <w:vAlign w:val="bottom"/>
          </w:tcPr>
          <w:p>
            <w:pPr>
              <w:spacing w:after="0"/>
              <w:rPr>
                <w:sz w:val="1"/>
                <w:szCs w:val="1"/>
                <w:color w:val="auto"/>
              </w:rPr>
            </w:pPr>
          </w:p>
        </w:tc>
      </w:tr>
      <w:tr>
        <w:trPr>
          <w:trHeight w:val="158"/>
        </w:trPr>
        <w:tc>
          <w:tcPr>
            <w:tcW w:w="298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Loss Attributable to Verano Holdings Corp. &amp;</w:t>
            </w:r>
          </w:p>
        </w:tc>
        <w:tc>
          <w:tcPr>
            <w:tcW w:w="240" w:type="dxa"/>
            <w:vAlign w:val="bottom"/>
          </w:tcPr>
          <w:p>
            <w:pPr>
              <w:spacing w:after="0"/>
              <w:rPr>
                <w:sz w:val="13"/>
                <w:szCs w:val="13"/>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(43,832)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(35,299)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(74,497)</w:t>
            </w:r>
          </w:p>
        </w:tc>
        <w:tc>
          <w:tcPr>
            <w:tcW w:w="0" w:type="dxa"/>
            <w:vAlign w:val="bottom"/>
          </w:tcPr>
          <w:p>
            <w:pPr>
              <w:spacing w:after="0"/>
              <w:rPr>
                <w:sz w:val="1"/>
                <w:szCs w:val="1"/>
                <w:color w:val="auto"/>
              </w:rPr>
            </w:pPr>
          </w:p>
        </w:tc>
      </w:tr>
      <w:tr>
        <w:trPr>
          <w:trHeight w:val="112"/>
        </w:trPr>
        <w:tc>
          <w:tcPr>
            <w:tcW w:w="29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Subsidiaries</w:t>
            </w:r>
          </w:p>
        </w:tc>
        <w:tc>
          <w:tcPr>
            <w:tcW w:w="24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9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980" w:type="dxa"/>
            <w:vAlign w:val="bottom"/>
          </w:tcPr>
          <w:p>
            <w:pPr>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1</w:t>
            </w: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150,588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173,660</w:t>
            </w:r>
          </w:p>
        </w:tc>
        <w:tc>
          <w:tcPr>
            <w:tcW w:w="0" w:type="dxa"/>
            <w:vAlign w:val="bottom"/>
          </w:tcPr>
          <w:p>
            <w:pPr>
              <w:spacing w:after="0"/>
              <w:rPr>
                <w:sz w:val="1"/>
                <w:szCs w:val="1"/>
                <w:color w:val="auto"/>
              </w:rPr>
            </w:pPr>
          </w:p>
        </w:tc>
      </w:tr>
    </w:tbl>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2026 Financial Highlights</w:t>
      </w:r>
    </w:p>
    <w:p>
      <w:pPr>
        <w:spacing w:after="0" w:line="32"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net of discounts, of $212 million, an increase of 5% versus the third quarter 2025.</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of $100 million or 47% of revenue.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SG&amp;A expenses of $85 million or 40% of revenue.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Net Loss of $(4) million or (2)% of revenue.</w:t>
      </w:r>
    </w:p>
    <w:p>
      <w:pPr>
        <w:spacing w:after="0" w:line="6" w:lineRule="exact"/>
        <w:rPr>
          <w:rFonts w:ascii="Times New Roman" w:cs="Times New Roman" w:eastAsia="Times New Roman" w:hAnsi="Times New Roman"/>
          <w:sz w:val="20"/>
          <w:szCs w:val="20"/>
          <w:b w:val="1"/>
          <w:bCs w:val="1"/>
          <w:i w:val="1"/>
          <w:iCs w:val="1"/>
          <w:color w:val="auto"/>
        </w:rPr>
      </w:pPr>
    </w:p>
    <w:p>
      <w:pPr>
        <w:ind w:left="640" w:hanging="308"/>
        <w:spacing w:after="0" w:line="202" w:lineRule="auto"/>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of $50 million or 24% of revenue.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cash provided by operating activities of $49 million.</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 of $13 million.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2026 Year-To-Date Financial Highlights</w:t>
      </w:r>
    </w:p>
    <w:p>
      <w:pPr>
        <w:spacing w:after="0" w:line="32" w:lineRule="exact"/>
        <w:rPr>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net of discounts, of $639 million, an increase of 4% year-over-year.</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profit of $299 million or 47% of revenue.</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SG&amp;A expenses of $263 million or 41% of revenue.</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Net Loss of $(35) million or (6)% of revenue.</w:t>
      </w:r>
    </w:p>
    <w:p>
      <w:pPr>
        <w:spacing w:after="0" w:line="6" w:lineRule="exact"/>
        <w:rPr>
          <w:rFonts w:ascii="Times New Roman" w:cs="Times New Roman" w:eastAsia="Times New Roman" w:hAnsi="Times New Roman"/>
          <w:sz w:val="20"/>
          <w:szCs w:val="20"/>
          <w:b w:val="1"/>
          <w:bCs w:val="1"/>
          <w:i w:val="1"/>
          <w:iCs w:val="1"/>
          <w:color w:val="auto"/>
        </w:rPr>
      </w:pPr>
    </w:p>
    <w:p>
      <w:pPr>
        <w:ind w:left="640" w:hanging="308"/>
        <w:spacing w:after="0" w:line="202" w:lineRule="auto"/>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of $151 million or 24% of revenue.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cash provided by operating activities of $98 million.</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 expenditures of $40 million.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Management Commentary</w:t>
      </w:r>
    </w:p>
    <w:p>
      <w:pPr>
        <w:spacing w:after="0" w:line="26"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 am proud of our teams for delivering another strong quarter, highlighted by a 5% increase in revenue, robust retail performance, and achieving our highest level of operating cash flow in four years,” said George Archos, Verano founder, Chairman and Chief Executive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Officer.</w:t>
      </w:r>
    </w:p>
    <w:p>
      <w:pPr>
        <w:spacing w:after="0" w:line="180"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9"/>
          <w:szCs w:val="19"/>
          <w:color w:val="auto"/>
        </w:rPr>
        <w:t>“With year-to-date revenue up 4% by quarter-end on an annual basis, and exciting seasonal products and promotions set to launch during the busy holiday season, the completion of several retail and CPG enhancement projects on schedule by year-end, and multiple catalysts on the</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horizon – including the exciting launch of retail adult use sales in Virginia – we aim to close 2026 on a high note, and look forward to hitting the ground running in what we anticipate will be an exciting year for Verano and the industry in 2027.”</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2026 Financial Overview</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Revenues, net of discounts, for the third quarter 2026 were $212 million, up from $203 million for the third quarter 2025.</w:t>
      </w:r>
    </w:p>
    <w:p>
      <w:pPr>
        <w:spacing w:after="0" w:line="227" w:lineRule="exact"/>
        <w:rPr>
          <w:sz w:val="20"/>
          <w:szCs w:val="20"/>
          <w:color w:val="auto"/>
        </w:rPr>
      </w:pPr>
    </w:p>
    <w:p>
      <w:pPr>
        <w:ind w:right="400"/>
        <w:spacing w:after="0" w:line="283" w:lineRule="auto"/>
        <w:rPr>
          <w:sz w:val="20"/>
          <w:szCs w:val="20"/>
          <w:color w:val="auto"/>
        </w:rPr>
      </w:pPr>
      <w:r>
        <w:rPr>
          <w:rFonts w:ascii="Times New Roman" w:cs="Times New Roman" w:eastAsia="Times New Roman" w:hAnsi="Times New Roman"/>
          <w:sz w:val="20"/>
          <w:szCs w:val="20"/>
          <w:color w:val="auto"/>
        </w:rPr>
        <w:t>Gross profit for the third quarter 2026 was $100 million or 47% of revenue, up from $95 million or 47% of revenue for the third quarter 2025.</w:t>
      </w:r>
    </w:p>
    <w:p>
      <w:pPr>
        <w:spacing w:after="0" w:line="173" w:lineRule="exact"/>
        <w:rPr>
          <w:sz w:val="20"/>
          <w:szCs w:val="20"/>
          <w:color w:val="auto"/>
        </w:rPr>
      </w:pPr>
    </w:p>
    <w:p>
      <w:pPr>
        <w:ind w:right="60"/>
        <w:spacing w:after="0" w:line="283" w:lineRule="auto"/>
        <w:rPr>
          <w:sz w:val="20"/>
          <w:szCs w:val="20"/>
          <w:color w:val="auto"/>
        </w:rPr>
      </w:pPr>
      <w:r>
        <w:rPr>
          <w:rFonts w:ascii="Times New Roman" w:cs="Times New Roman" w:eastAsia="Times New Roman" w:hAnsi="Times New Roman"/>
          <w:sz w:val="20"/>
          <w:szCs w:val="20"/>
          <w:color w:val="auto"/>
        </w:rPr>
        <w:t>SG&amp;A expenses for the third quarter 2026 were $85 million or 40% of revenue, up from $81 million or 40% of revenue for the third quarter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Net loss for the third quarter 2026 was $(4) million or (2)% of revenue, versus $(44) million or (22)% of revenue for the third quarter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for the third quarter 2026 was $50 million or 24% of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provided by operating activities for the third quarter 2026 was $49 million, up from $26 million for the third quarter 2025.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 expenditures for the third quarter 2026 were $13 million, up from $8 million for the third quarter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2026 Year-To-Date Financial Overview</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Revenues, net of discounts, for the third quarter 2026 year-to-date were $639 million, up from $615 million year-over-year.</w:t>
      </w:r>
    </w:p>
    <w:p>
      <w:pPr>
        <w:spacing w:after="0" w:line="234"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Gross profit for the third quarter 2026 year-to-date was $299 million or 47% of revenue, down from $308 million or 50% of revenue year-over-year.</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SG&amp;A expenses for the third quarter 2026 year-to-date were $263 million or 41% of revenue, up from $251 million or 41% of revenue year-over-year.</w:t>
      </w:r>
    </w:p>
    <w:p>
      <w:pPr>
        <w:spacing w:after="0" w:line="173" w:lineRule="exact"/>
        <w:rPr>
          <w:sz w:val="20"/>
          <w:szCs w:val="20"/>
          <w:color w:val="auto"/>
        </w:rPr>
      </w:pPr>
    </w:p>
    <w:p>
      <w:pPr>
        <w:ind w:right="240"/>
        <w:spacing w:after="0" w:line="283" w:lineRule="auto"/>
        <w:rPr>
          <w:sz w:val="20"/>
          <w:szCs w:val="20"/>
          <w:color w:val="auto"/>
        </w:rPr>
      </w:pPr>
      <w:r>
        <w:rPr>
          <w:rFonts w:ascii="Times New Roman" w:cs="Times New Roman" w:eastAsia="Times New Roman" w:hAnsi="Times New Roman"/>
          <w:sz w:val="20"/>
          <w:szCs w:val="20"/>
          <w:color w:val="auto"/>
        </w:rPr>
        <w:t>Net loss for the third quarter 2026 year-to-date was $(35) million or (6)% of revenue, versus $(74) million or (12)% of revenue year-over-year.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for the third quarter 2026 year-to-date was $151 million or 24% of revenue.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cash provided by operating activities for the third quarter 2026 year-to-date was $98 million, up from $39 million year-over-year.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 expenditures for the third quarter 2026 year-to-date were $40 million, up from $32 million year-over-year.</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2026 Guidance</w:t>
      </w:r>
    </w:p>
    <w:p>
      <w:pPr>
        <w:spacing w:after="0" w:line="233" w:lineRule="exact"/>
        <w:rPr>
          <w:sz w:val="20"/>
          <w:szCs w:val="20"/>
          <w:color w:val="auto"/>
        </w:rPr>
      </w:pPr>
    </w:p>
    <w:p>
      <w:pPr>
        <w:ind w:left="5580" w:right="2920" w:hanging="5248"/>
        <w:spacing w:after="0" w:line="888" w:lineRule="auto"/>
        <w:tabs>
          <w:tab w:leader="none" w:pos="65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raises its 2026 capital expenditures guidance range to $54 million to $60 million. 2</w:t>
      </w:r>
    </w:p>
    <w:p>
      <w:pPr>
        <w:sectPr>
          <w:pgSz w:w="11900" w:h="16838" w:orient="portrait"/>
          <w:cols w:equalWidth="0" w:num="1">
            <w:col w:w="11160"/>
          </w:cols>
          <w:pgMar w:left="320" w:top="936"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u w:val="single" w:color="auto"/>
          <w:color w:val="auto"/>
        </w:rPr>
        <w:t>Third Quarter 2026 Operational Highlights</w:t>
      </w:r>
    </w:p>
    <w:p>
      <w:pPr>
        <w:spacing w:after="0" w:line="32" w:lineRule="exact"/>
        <w:rPr>
          <w:sz w:val="20"/>
          <w:szCs w:val="20"/>
          <w:color w:val="auto"/>
        </w:rPr>
      </w:pPr>
    </w:p>
    <w:p>
      <w:pPr>
        <w:ind w:left="660" w:hanging="328"/>
        <w:spacing w:after="0" w:line="246" w:lineRule="auto"/>
        <w:tabs>
          <w:tab w:leader="none" w:pos="648"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Florida retail footprint with the opening of MÜV Bradfordville, the Company's 86th Florida dispensary and 163rd location nationwide.</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Entered the cannabis beverage category with the debut of Easy Landings, the Company’s first national beverage brand.</w:t>
      </w:r>
    </w:p>
    <w:p>
      <w:pPr>
        <w:spacing w:after="0" w:line="1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u w:val="single" w:color="auto"/>
          <w:color w:val="auto"/>
        </w:rPr>
        <w:t>Subsequent Operational Highlights</w:t>
      </w:r>
    </w:p>
    <w:p>
      <w:pPr>
        <w:spacing w:after="0" w:line="32" w:lineRule="exact"/>
        <w:rPr>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Commemorated the opening of Zen Leaf Meriden in a new and enhanced location.</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Opening Zen Leaf Ephrata in Pennsylvania on Friday, October 30th.</w:t>
      </w:r>
    </w:p>
    <w:p>
      <w:pPr>
        <w:spacing w:after="0" w:line="6" w:lineRule="exact"/>
        <w:rPr>
          <w:rFonts w:ascii="Times New Roman" w:cs="Times New Roman" w:eastAsia="Times New Roman" w:hAnsi="Times New Roman"/>
          <w:sz w:val="20"/>
          <w:szCs w:val="20"/>
          <w:color w:val="auto"/>
        </w:rPr>
      </w:pPr>
    </w:p>
    <w:p>
      <w:pPr>
        <w:ind w:left="660" w:right="140" w:hanging="328"/>
        <w:spacing w:after="0" w:line="260"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Current operations span 13 states, comprised of 163 dispensaries and 14 production facilities with more than 1.1 million square feet of cultivation capacity.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Balance Sheet and Liquidity</w:t>
      </w:r>
    </w:p>
    <w:p>
      <w:pPr>
        <w:spacing w:after="0" w:line="32" w:lineRule="exact"/>
        <w:rPr>
          <w:sz w:val="20"/>
          <w:szCs w:val="20"/>
          <w:color w:val="auto"/>
        </w:rPr>
      </w:pPr>
    </w:p>
    <w:p>
      <w:pPr>
        <w:ind w:right="580"/>
        <w:spacing w:after="0" w:line="253" w:lineRule="auto"/>
        <w:rPr>
          <w:sz w:val="20"/>
          <w:szCs w:val="20"/>
          <w:color w:val="auto"/>
        </w:rPr>
      </w:pPr>
      <w:r>
        <w:rPr>
          <w:rFonts w:ascii="Times New Roman" w:cs="Times New Roman" w:eastAsia="Times New Roman" w:hAnsi="Times New Roman"/>
          <w:sz w:val="20"/>
          <w:szCs w:val="20"/>
          <w:color w:val="auto"/>
        </w:rPr>
        <w:t>As of September 30, 2026, the Company’s current assets were $416 million, including cash and cash equivalents of $102 million. The Company had working capital of $301 million and total debt, net of issuance costs, of $390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outstanding shares of common stock were 72,934,412 as of September 30, 2026.</w:t>
      </w: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00"/>
          </w:cols>
          <w:pgMar w:left="320" w:top="1152"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Conference Call and Webcast</w:t>
      </w:r>
    </w:p>
    <w:p>
      <w:pPr>
        <w:spacing w:after="0" w:line="32" w:lineRule="exact"/>
        <w:rPr>
          <w:sz w:val="20"/>
          <w:szCs w:val="20"/>
          <w:color w:val="auto"/>
        </w:rPr>
      </w:pPr>
    </w:p>
    <w:p>
      <w:pPr>
        <w:ind w:right="300"/>
        <w:spacing w:after="0" w:line="246" w:lineRule="auto"/>
        <w:rPr>
          <w:sz w:val="20"/>
          <w:szCs w:val="20"/>
          <w:color w:val="auto"/>
        </w:rPr>
      </w:pPr>
      <w:r>
        <w:rPr>
          <w:rFonts w:ascii="Times New Roman" w:cs="Times New Roman" w:eastAsia="Times New Roman" w:hAnsi="Times New Roman"/>
          <w:sz w:val="20"/>
          <w:szCs w:val="20"/>
          <w:color w:val="auto"/>
        </w:rPr>
        <w:t>A conference call and webcast with analysts and investors is scheduled for October 29, 2026 at 8:30 a.m. ET / 7:30 a.m. CT to discuss the results.</w:t>
      </w:r>
    </w:p>
    <w:p>
      <w:pPr>
        <w:spacing w:after="0" w:line="1" w:lineRule="exact"/>
        <w:rPr>
          <w:sz w:val="20"/>
          <w:szCs w:val="20"/>
          <w:color w:val="auto"/>
        </w:rPr>
      </w:pPr>
    </w:p>
    <w:p>
      <w:pPr>
        <w:ind w:left="660" w:right="2640" w:hanging="328"/>
        <w:spacing w:after="0" w:line="246"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Investors and participants can register in advance for the call by visiting: https://register-conf.media-server.com/register/BI10964a36c81a483c80c6a571ef0f9518</w:t>
      </w:r>
    </w:p>
    <w:p>
      <w:pPr>
        <w:spacing w:after="0" w:line="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registering, instructions will be shared on how to join the call for those who wish to dial in.</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October 29, the live webcast can be accessed via the following link: https://edge.media-server.com/mmc/p/mr3yjhvp</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live and archived webcast will be available on the Events and Presentations page of the Company’s investor relations website at</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investors.verano.com.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w:t>
      </w:r>
    </w:p>
    <w:p>
      <w:pPr>
        <w:spacing w:after="0" w:line="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Adjusted EBITDA and Adjusted EBITDA as a percentage of revenue (“Adjusted EBITDA Margin”) are non-U.S. GAAP financial measures. Each is derived from EBITDA, another non-U.S. GAAP financial measure, and is defined in this news release in the section below titled “Non-U.S. GAAP Financial Measures.” The most directly comparable U.S. GAAP financial measure to Adjusted EBITDA is net income (loss) and the most directly comparable measure to Adjusted EBITDA Margin is net income (loss) as a percentage of revenue (“net income (loss) margin”). The reconciliation of (i) Adjusted EBITDA to U.S. GAAP net income (loss) and (ii) Adjusted EBITDA Margin to net income (loss) margin is set forth below in the tables included in this news release.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Non-U.S. GAAP Financial Measures</w:t>
      </w:r>
    </w:p>
    <w:p>
      <w:pPr>
        <w:spacing w:after="0" w:line="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Verano uses non-U.S. GAAP financial information to evaluate the performance of the Company. The terms “EBITDA,” “Adjusted EBITDA,” and “Adjusted EBITDA Margin” do not have any standardized meaning prescribed within U.S. GAAP and therefore may not be comparable to similar measures presented by other companies. Accordingly, this non-U.S. GAAP financial information is intended to provide additional information and should not be considered in isolation or as a substitute for measures of performance prepared in accordance with U.S. GAAP.</w:t>
      </w:r>
    </w:p>
    <w:p>
      <w:pPr>
        <w:spacing w:after="0" w:line="19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calculates EBITDA as net income (loss) before interest expense, income tax expense, depreciation and amortization; Adjusted EBITDA as net income (loss) before net interest expense, income tax expense, depreciation and amortization and also excludes certain one-time extraordinary items and Adjusted EBITDA Margin as net income (loss) before net interest expense, income tax expense, depreciation and amortization and exclusion of certain one-time extraordinary items as a percentage of revenue. The calculations of the non-U.S. GAAP financial measures used in this news release and the reconciliations to the most comparable U.S. GAAP financial numbers are included in the tables below.</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Management believes that this non-U.S. GAAP financial information is useful as a supplement to comparable U.S. GAAP financial information because it provides consistency and comparability with past financial performance and assists in comparisons with other companies, some of which use similar non-GAAP information to supplement their U.S. GAAP results. Management reviews these non-U.S. GAAP financial measures on a regular basis and uses them, together with financial measures included in the Company’s financial statements, to evaluate and manage the performance of the Company’s operations. These measures should be evaluated only in conjunction with the comparable U.S. GAAP financial numbers reported by the Company.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15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Verano</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Verano Holdings Corp. (Cboe CA: VRNO) (OTCQX: VRNO), one of the U.S. cannabis industry’s leading companies based on historical revenue, geographic scope and brand performance, is a vertically integrated, multi-state operator embracing a mission of saying Yes to plant progress and the bold exploration of cannabis. Verano provides a superior cannabis shopping experience in medical and adult use markets under the Zen Leaf™ and MÜV™ dispensary banners, and produces a comprehensive suite of high-quality, regulated cannabis products sold under its diverse portfolio of trusted consumer brands including Savvy™, The Essence™, Swift Lifts™, HYPHEN™, Encore™, Easy Landings™, BITS™, Avexia™, MÜV™, CTPharma™, and Verano™. Verano’s active operations span 13 U.S. states, comprised of 14 production facilities with over 1.1 million square feet of cultivation capacity. Learn more at Verano.com.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Contacts: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Verano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Aaron Miles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Chief Investment Officer</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Investors@verano.com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Verano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Steve Mazeika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Communications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Steve.Mazeika@verano.com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Forward Looking Statements</w:t>
      </w:r>
    </w:p>
    <w:p>
      <w:pPr>
        <w:spacing w:after="0" w:line="3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safe harbor provisions of the United States Private Securities Litigation Reform Act of 1995. Such forward-looking statements are not representative of historical facts or information or current condition, but instead represent only the Company’s beliefs regarding future events, plans, strategies, or objectives, many of which, by their nature, are inherently uncertain and outside of the Company’s control. Generally, such forward-looking statements can be identified by the use of forward-looking terminology such as “plans”, “expects” or “does not expect”, “is expected”, “budget”, “future”, “scheduled”, “estimates”, “forecasts”, “projects,” “intends”, “anticipates” or “does not anticipate”, or “believes”, or variations of such words and phrases, or may contain statements that certain actions, events or results “may”, “could”, “would”, “might” or “will be taken”, “will continue”, “will occur” or “will be achieved”. Forward-looking statements involve and are subject to assumptions and known and unknown risks, uncertainties, and other factors which may cause actual events, results, performance, or achievements of the Company to be materially different from future events, results, performance, and achievements expressed or implied by forward-looking statements herein, including, without limitation, the risk factors described in the Company’s annual report on Form 10-K for the year ended December 31, 2025 filed with the U.S. Securities and Exchange Commission at www.sec.gov. The forward-looking statements contained in this press release are made as of the date of this press release, and the Company does not undertake to update any forward-looking information or forward-looking statements that are contained or referenced herein, except as may be required in accordance with applicable securities laws. All subsequent written and oral forward-looking information and statements attributable to the Company or persons acting on its behalf is expressly qualified in its entirety by this notice regarding forward-looking information and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Financial Information Tables</w:t>
      </w:r>
    </w:p>
    <w:p>
      <w:pPr>
        <w:spacing w:after="0" w:line="3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The following tables include select financial results and the reconciliations of the non-U.S. GAAP financial measures to the respective most directly comparable U.S. GAAP financial measures for the presented periods.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15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Highlights from Unaudited Interim Condensed Consolidated Statements of Operations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00" w:type="dxa"/>
            <w:vAlign w:val="bottom"/>
          </w:tcPr>
          <w:p>
            <w:pPr>
              <w:spacing w:after="0"/>
              <w:rPr>
                <w:sz w:val="16"/>
                <w:szCs w:val="16"/>
                <w:color w:val="auto"/>
              </w:rPr>
            </w:pPr>
          </w:p>
        </w:tc>
        <w:tc>
          <w:tcPr>
            <w:tcW w:w="340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23"/>
        </w:trPr>
        <w:tc>
          <w:tcPr>
            <w:tcW w:w="4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6"/>
        </w:trPr>
        <w:tc>
          <w:tcPr>
            <w:tcW w:w="4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(Unaudited)</w:t>
            </w: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 net of Discounts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212,443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202,810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638,539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614,891</w:t>
            </w:r>
          </w:p>
        </w:tc>
      </w:tr>
      <w:tr>
        <w:trPr>
          <w:trHeight w:val="196"/>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Goods Sold, net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112,405</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107,573</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339,826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307,089</w:t>
            </w:r>
          </w:p>
        </w:tc>
      </w:tr>
      <w:tr>
        <w:trPr>
          <w:trHeight w:val="20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100,038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95,237</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298,713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307,802</w:t>
            </w: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Profit %</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47 %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50 %</w:t>
            </w: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8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84,506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80,560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262,877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251,484</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on Impairment of Held for Sale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5,400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7,686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5,400</w:t>
            </w:r>
          </w:p>
        </w:tc>
      </w:tr>
      <w:tr>
        <w:trPr>
          <w:trHeight w:val="19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Impairment of Fixed Assets</w:t>
            </w:r>
          </w:p>
        </w:tc>
        <w:tc>
          <w:tcPr>
            <w:tcW w:w="18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428</w:t>
            </w:r>
          </w:p>
        </w:tc>
      </w:tr>
      <w:tr>
        <w:trPr>
          <w:trHeight w:val="203"/>
        </w:trPr>
        <w:tc>
          <w:tcPr>
            <w:tcW w:w="41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88,130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85,960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270,563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257,312</w:t>
            </w:r>
          </w:p>
        </w:tc>
      </w:tr>
      <w:tr>
        <w:trPr>
          <w:trHeight w:val="190"/>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Income from Operations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11,908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9,277</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28,150</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50,490</w:t>
            </w:r>
          </w:p>
        </w:tc>
      </w:tr>
      <w:tr>
        <w:trPr>
          <w:trHeight w:val="20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180" w:type="dxa"/>
            <w:vAlign w:val="bottom"/>
          </w:tcPr>
          <w:p>
            <w:pPr>
              <w:spacing w:after="0"/>
              <w:rPr>
                <w:sz w:val="16"/>
                <w:szCs w:val="16"/>
                <w:color w:val="auto"/>
              </w:rPr>
            </w:pPr>
          </w:p>
        </w:tc>
        <w:tc>
          <w:tcPr>
            <w:tcW w:w="1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(916)</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Deconsolidation</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4,739</w:t>
            </w:r>
          </w:p>
        </w:tc>
      </w:tr>
      <w:tr>
        <w:trPr>
          <w:trHeight w:val="195"/>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Debt Extinguishment</w:t>
            </w:r>
          </w:p>
        </w:tc>
        <w:tc>
          <w:tcPr>
            <w:tcW w:w="180" w:type="dxa"/>
            <w:vAlign w:val="bottom"/>
          </w:tcPr>
          <w:p>
            <w:pPr>
              <w:spacing w:after="0"/>
              <w:rPr>
                <w:sz w:val="16"/>
                <w:szCs w:val="16"/>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4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(5,738)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1,938</w:t>
            </w:r>
          </w:p>
        </w:tc>
      </w:tr>
      <w:tr>
        <w:trPr>
          <w:trHeight w:val="21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(10,760)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(13,212)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(34,330)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(40,981)</w:t>
            </w:r>
          </w:p>
        </w:tc>
      </w:tr>
      <w:tr>
        <w:trPr>
          <w:trHeight w:val="196"/>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2,851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(9,890)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(8,825)</w:t>
            </w:r>
          </w:p>
        </w:tc>
      </w:tr>
      <w:tr>
        <w:trPr>
          <w:trHeight w:val="203"/>
        </w:trPr>
        <w:tc>
          <w:tcPr>
            <w:tcW w:w="4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(8,705)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(24,668)</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(41,633)</w:t>
            </w: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(44,045)</w:t>
            </w:r>
          </w:p>
        </w:tc>
      </w:tr>
      <w:tr>
        <w:trPr>
          <w:trHeight w:val="190"/>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Before Provision for Income Taxes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3,203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(15,391)</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(13,483)</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6,445</w:t>
            </w:r>
          </w:p>
        </w:tc>
      </w:tr>
      <w:tr>
        <w:trPr>
          <w:trHeight w:val="202"/>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Income Tax Expense</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(7,268)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(28,441)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(21,816)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(80,942)</w:t>
            </w:r>
          </w:p>
        </w:tc>
      </w:tr>
      <w:tr>
        <w:trPr>
          <w:trHeight w:val="198"/>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Verano Holdings Corp. &amp; Subsidiaries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(4,065)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(43,832)</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(35,299)</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(74,497)</w:t>
            </w:r>
          </w:p>
        </w:tc>
      </w:tr>
      <w:tr>
        <w:trPr>
          <w:trHeight w:val="25"/>
        </w:trPr>
        <w:tc>
          <w:tcPr>
            <w:tcW w:w="4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Highlights from Condensed Consolidated Balance Sheets</w:t>
      </w:r>
    </w:p>
    <w:p>
      <w:pPr>
        <w:spacing w:after="0" w:line="241" w:lineRule="exact"/>
        <w:rPr>
          <w:sz w:val="20"/>
          <w:szCs w:val="20"/>
          <w:color w:val="auto"/>
        </w:rPr>
      </w:pPr>
    </w:p>
    <w:tbl>
      <w:tblPr>
        <w:tblLayout w:type="fixed"/>
        <w:tblInd w:w="38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20" w:type="dxa"/>
            <w:vAlign w:val="bottom"/>
          </w:tcPr>
          <w:p>
            <w:pPr>
              <w:spacing w:after="0"/>
              <w:rPr>
                <w:sz w:val="16"/>
                <w:szCs w:val="16"/>
                <w:color w:val="auto"/>
              </w:rPr>
            </w:pPr>
          </w:p>
        </w:tc>
      </w:tr>
      <w:tr>
        <w:trPr>
          <w:trHeight w:val="23"/>
        </w:trPr>
        <w:tc>
          <w:tcPr>
            <w:tcW w:w="6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6"/>
        </w:trPr>
        <w:tc>
          <w:tcPr>
            <w:tcW w:w="6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190"/>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i w:val="1"/>
                <w:iCs w:val="1"/>
                <w:color w:val="auto"/>
              </w:rPr>
              <w:t>(Audited)</w:t>
            </w:r>
          </w:p>
        </w:tc>
      </w:tr>
      <w:tr>
        <w:trPr>
          <w:trHeight w:val="20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102,054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82,724</w:t>
            </w: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180" w:type="dxa"/>
            <w:vAlign w:val="bottom"/>
          </w:tcPr>
          <w:p>
            <w:pPr>
              <w:spacing w:after="0"/>
              <w:rPr>
                <w:sz w:val="16"/>
                <w:szCs w:val="16"/>
                <w:color w:val="auto"/>
              </w:rPr>
            </w:pP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313,554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321,927</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497,571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492,473</w:t>
            </w: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180" w:type="dxa"/>
            <w:vAlign w:val="bottom"/>
          </w:tcPr>
          <w:p>
            <w:pPr>
              <w:spacing w:after="0"/>
              <w:rPr>
                <w:sz w:val="16"/>
                <w:szCs w:val="16"/>
                <w:color w:val="auto"/>
              </w:rPr>
            </w:pP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536,243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579,090</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161,009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161,009</w:t>
            </w:r>
          </w:p>
        </w:tc>
      </w:tr>
      <w:tr>
        <w:trPr>
          <w:trHeight w:val="19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96,865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104,371</w:t>
            </w:r>
          </w:p>
        </w:tc>
      </w:tr>
      <w:tr>
        <w:trPr>
          <w:trHeight w:val="22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1,707,296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1,741,594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6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0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114,139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140,261</w:t>
            </w:r>
          </w:p>
        </w:tc>
      </w:tr>
      <w:tr>
        <w:trPr>
          <w:trHeight w:val="195"/>
        </w:trPr>
        <w:tc>
          <w:tcPr>
            <w:tcW w:w="6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Long-Term Liabilities</w:t>
            </w:r>
          </w:p>
        </w:tc>
        <w:tc>
          <w:tcPr>
            <w:tcW w:w="180" w:type="dxa"/>
            <w:vAlign w:val="bottom"/>
          </w:tcPr>
          <w:p>
            <w:pPr>
              <w:spacing w:after="0"/>
              <w:rPr>
                <w:sz w:val="16"/>
                <w:szCs w:val="16"/>
                <w:color w:val="auto"/>
              </w:rPr>
            </w:pPr>
          </w:p>
        </w:tc>
        <w:tc>
          <w:tcPr>
            <w:tcW w:w="1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923,085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898,954</w:t>
            </w: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671,888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704,156</w:t>
            </w:r>
          </w:p>
        </w:tc>
      </w:tr>
      <w:tr>
        <w:trPr>
          <w:trHeight w:val="196"/>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(1,777)</w:t>
            </w:r>
          </w:p>
        </w:tc>
      </w:tr>
      <w:tr>
        <w:trPr>
          <w:trHeight w:val="22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1,707,296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1,741,594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11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VERANO HOLDINGS CORP.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Loss to EBITDA (Non-U.S. GAAP) and Adjusted EBITDA (Non-U.S. GAAP, 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4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80" w:type="dxa"/>
            <w:vAlign w:val="bottom"/>
          </w:tcPr>
          <w:p>
            <w:pPr>
              <w:spacing w:after="0"/>
              <w:rPr>
                <w:sz w:val="16"/>
                <w:szCs w:val="16"/>
                <w:color w:val="auto"/>
              </w:rPr>
            </w:pPr>
          </w:p>
        </w:tc>
        <w:tc>
          <w:tcPr>
            <w:tcW w:w="3360" w:type="dxa"/>
            <w:vAlign w:val="bottom"/>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37"/>
        </w:trPr>
        <w:tc>
          <w:tcPr>
            <w:tcW w:w="40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96"/>
        </w:trPr>
        <w:tc>
          <w:tcPr>
            <w:tcW w:w="4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(Unaudited)</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i w:val="1"/>
                <w:iCs w:val="1"/>
                <w:color w:val="auto"/>
              </w:rPr>
              <w:t>(Unaudited)</w:t>
            </w: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Verano Holdings Corp. &amp; Subsidiaries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(4,065)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(43,832)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(35,299)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(74,497)</w:t>
            </w:r>
          </w:p>
        </w:tc>
      </w:tr>
      <w:tr>
        <w:trPr>
          <w:trHeight w:val="195"/>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10,760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13,212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34,330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40,981</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28,441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21,816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80,942</w:t>
            </w:r>
          </w:p>
        </w:tc>
      </w:tr>
      <w:tr>
        <w:trPr>
          <w:trHeight w:val="196"/>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29,806</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31,560</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88,425</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94,839</w:t>
            </w:r>
          </w:p>
        </w:tc>
      </w:tr>
      <w:tr>
        <w:trPr>
          <w:trHeight w:val="20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43,769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29,381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109,272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142,265</w:t>
            </w:r>
          </w:p>
        </w:tc>
      </w:tr>
      <w:tr>
        <w:trPr>
          <w:trHeight w:val="270"/>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0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COGS Add-backs:</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5"/>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Transaction and Other Non-operating Costs</w:t>
            </w:r>
          </w:p>
        </w:tc>
        <w:tc>
          <w:tcPr>
            <w:tcW w:w="18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385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1,642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6,418</w:t>
            </w:r>
          </w:p>
        </w:tc>
      </w:tr>
      <w:tr>
        <w:trPr>
          <w:trHeight w:val="21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Compensation</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1,298</w:t>
            </w:r>
          </w:p>
        </w:tc>
      </w:tr>
      <w:tr>
        <w:trPr>
          <w:trHeight w:val="270"/>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0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SG&amp;A Add-backs:</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5"/>
        </w:trPr>
        <w:tc>
          <w:tcPr>
            <w:tcW w:w="4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Transaction and Other Non-operating Costs</w:t>
            </w:r>
          </w:p>
        </w:tc>
        <w:tc>
          <w:tcPr>
            <w:tcW w:w="18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2,263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11,620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3,637</w:t>
            </w:r>
          </w:p>
        </w:tc>
      </w:tr>
      <w:tr>
        <w:trPr>
          <w:trHeight w:val="21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Employee Stock Compensation</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2,122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8,355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7,866</w:t>
            </w:r>
          </w:p>
        </w:tc>
      </w:tr>
      <w:tr>
        <w:trPr>
          <w:trHeight w:val="270"/>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0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3,624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5,400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7,686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5,828</w:t>
            </w:r>
          </w:p>
        </w:tc>
      </w:tr>
      <w:tr>
        <w:trPr>
          <w:trHeight w:val="270"/>
        </w:trPr>
        <w:tc>
          <w:tcPr>
            <w:tcW w:w="4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0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Acquisition Adjustments and Other (Income) &amp; Expense, net</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(791)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12,657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11,361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6,348</w:t>
            </w:r>
          </w:p>
        </w:tc>
      </w:tr>
      <w:tr>
        <w:trPr>
          <w:trHeight w:val="270"/>
        </w:trPr>
        <w:tc>
          <w:tcPr>
            <w:tcW w:w="40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r>
      <w:tr>
        <w:trPr>
          <w:trHeight w:val="221"/>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9"/>
                <w:szCs w:val="9"/>
                <w:b w:val="1"/>
                <w:bCs w:val="1"/>
                <w:color w:val="auto"/>
              </w:rPr>
              <w:t>1</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50,353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53,109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150,588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173,660</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Margin</w:t>
            </w: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r>
      <w:tr>
        <w:trPr>
          <w:trHeight w:val="190"/>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 Margin</w:t>
            </w:r>
            <w:r>
              <w:rPr>
                <w:rFonts w:ascii="Times New Roman" w:cs="Times New Roman" w:eastAsia="Times New Roman" w:hAnsi="Times New Roman"/>
                <w:sz w:val="9"/>
                <w:szCs w:val="9"/>
                <w:b w:val="1"/>
                <w:bCs w:val="1"/>
                <w:color w:val="auto"/>
              </w:rPr>
              <w:t>1</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24 %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28 %</w:t>
            </w:r>
          </w:p>
        </w:tc>
      </w:tr>
    </w:tbl>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o"/>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2026-10-29T06:55:32Z</dcterms:created>
  <dcterms:modified xsi:type="dcterms:W3CDTF">2026-10-29T06:55:32Z</dcterms:modified>
</cp:coreProperties>
</file>