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Tarapchak Richard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224 WEST HILL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Verano Holdings Corp.</w:t>
              </w:r>
            </w:hyperlink>
            <w:r>
              <w:rPr/>
              <w:t xml:space="preserve"> [ </w:t>
            </w:r>
            <w:r>
              <w:rPr>
                <w:rFonts w:ascii="Times;serif" w:hAnsi="Times;serif"/>
                <w:color w:val="0000FF"/>
                <w:sz w:val="24"/>
                <w:shd w:fill="FFFFFF" w:val="clear"/>
              </w:rPr>
              <w:t>VRNO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574,910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487,010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represents the grant and vesting of restricted stock units which settled into Common Stock, par value $0.001. The restricted stock units were granted on June 9, 2026 following Board approval and were fully vested at the time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Common Stock, par value $0.001 that have been withheld by the issuer to satisfy its income tax withholding and remittance obligations in connection with the net settlement of the restricted stock units and does not represent a sale. Such restricted stock units settled into shares of Common Stock on June 9,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Marie Kalesnik,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5597" TargetMode="External"/><Relationship Id="rId5" Type="http://schemas.openxmlformats.org/officeDocument/2006/relationships/hyperlink" Target="http://www.sec.gov/cgi-bin/browse-edgar?action=getcompany&amp;CIK=0001848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3653</Characters>
  <CharactersWithSpaces>4267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