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60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June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VERANO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60602"/>
            <w:bookmarkEnd w:id="6"/>
            <w:r>
              <w:rPr>
                <w:rFonts w:ascii="Times New Roman;Times;Serif" w:hAnsi="Times New Roman;Times;Serif"/>
                <w:b/>
                <w:i w:val="false"/>
                <w:caps w:val="false"/>
                <w:smallCaps w:val="false"/>
                <w:sz w:val="20"/>
              </w:rPr>
              <w:t>000-56342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98-1583243</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b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224 West Hill Street, </w:t>
      </w:r>
      <w:bookmarkStart w:id="9" w:name="xdx_907_edei--EntityAddressAddressLine2_"/>
      <w:bookmarkEnd w:id="9"/>
      <w:r>
        <w:rPr>
          <w:rFonts w:ascii="Times New Roman;Times;Serif" w:hAnsi="Times New Roman;Times;Serif"/>
          <w:b/>
          <w:i w:val="false"/>
          <w:caps w:val="false"/>
          <w:smallCaps w:val="false"/>
          <w:sz w:val="20"/>
        </w:rPr>
        <w:t>Suite 400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Chicago, </w:t>
      </w:r>
      <w:bookmarkStart w:id="11" w:name="xdx_901_edei--EntityAddressStateOrProvin"/>
      <w:bookmarkEnd w:id="11"/>
      <w:r>
        <w:rPr>
          <w:rFonts w:ascii="Times New Roman;Times;Serif" w:hAnsi="Times New Roman;Times;Serif"/>
          <w:b/>
          <w:i w:val="false"/>
          <w:caps w:val="false"/>
          <w:smallCaps w:val="false"/>
          <w:sz w:val="20"/>
        </w:rPr>
        <w:t>Illinois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E_edei--EntityAddressPostalZipCode"/>
      <w:bookmarkEnd w:id="12"/>
      <w:r>
        <w:rPr>
          <w:rFonts w:ascii="Times New Roman;Times;Serif" w:hAnsi="Times New Roman;Times;Serif"/>
          <w:b/>
          <w:i w:val="false"/>
          <w:caps w:val="false"/>
          <w:smallCaps w:val="false"/>
          <w:sz w:val="20"/>
        </w:rPr>
        <w:t>60610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E_edei--CityAreaCode_c20260602__20"/>
      <w:bookmarkEnd w:id="13"/>
      <w:r>
        <w:rPr>
          <w:rFonts w:ascii="Times New Roman;Times;Serif" w:hAnsi="Times New Roman;Times;Serif"/>
          <w:b/>
          <w:i w:val="false"/>
          <w:caps w:val="false"/>
          <w:smallCaps w:val="false"/>
          <w:sz w:val="20"/>
        </w:rPr>
        <w:t xml:space="preserve">(312) </w:t>
      </w:r>
      <w:bookmarkStart w:id="14" w:name="xdx_900_edei--LocalPhoneNumber_c20260602"/>
      <w:bookmarkEnd w:id="14"/>
      <w:r>
        <w:rPr>
          <w:rFonts w:ascii="Times New Roman;Times;Serif" w:hAnsi="Times New Roman;Times;Serif"/>
          <w:b/>
          <w:i w:val="false"/>
          <w:caps w:val="false"/>
          <w:smallCaps w:val="false"/>
          <w:sz w:val="20"/>
        </w:rPr>
        <w:t>265-0730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7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E_edei--SolicitingMaterial_c202606"/>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A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3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780" w:type="dxa"/>
        <w:jc w:val="left"/>
        <w:tblInd w:w="0" w:type="dxa"/>
        <w:tblLayout w:type="fixed"/>
        <w:tblCellMar>
          <w:top w:w="0" w:type="dxa"/>
          <w:left w:w="0" w:type="dxa"/>
          <w:bottom w:w="28" w:type="dxa"/>
          <w:right w:w="0" w:type="dxa"/>
        </w:tblCellMar>
      </w:tblPr>
      <w:tblGrid>
        <w:gridCol w:w="1535"/>
        <w:gridCol w:w="60"/>
        <w:gridCol w:w="1415"/>
        <w:gridCol w:w="60"/>
        <w:gridCol w:w="37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A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Item 3.03 of Form 8-K, the information contained in Item 5.03 of this report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Verano Holdings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filed a Certificate of Change (the “</w:t>
      </w:r>
      <w:r>
        <w:rPr>
          <w:rFonts w:ascii="Times New Roman;Times;Serif" w:hAnsi="Times New Roman;Times;Serif"/>
          <w:b w:val="false"/>
          <w:i w:val="false"/>
          <w:caps w:val="false"/>
          <w:smallCaps w:val="false"/>
          <w:sz w:val="20"/>
          <w:u w:val="single"/>
        </w:rPr>
        <w:t>Certificate of Change</w:t>
      </w:r>
      <w:r>
        <w:rPr>
          <w:rFonts w:ascii="Times New Roman;Times;Serif" w:hAnsi="Times New Roman;Times;Serif"/>
          <w:b w:val="false"/>
          <w:i w:val="false"/>
          <w:caps w:val="false"/>
          <w:smallCaps w:val="false"/>
          <w:sz w:val="20"/>
        </w:rPr>
        <w:t>”) with the Secretary of State of the State of Nevada to effectuate a 1-for-5 reverse stock split (the “</w:t>
      </w:r>
      <w:r>
        <w:rPr>
          <w:rFonts w:ascii="Times New Roman;Times;Serif" w:hAnsi="Times New Roman;Times;Serif"/>
          <w:b w:val="false"/>
          <w:i w:val="false"/>
          <w:caps w:val="false"/>
          <w:smallCaps w:val="false"/>
          <w:sz w:val="20"/>
          <w:u w:val="single"/>
        </w:rPr>
        <w:t>Reverse Stock Split</w:t>
      </w:r>
      <w:r>
        <w:rPr>
          <w:rFonts w:ascii="Times New Roman;Times;Serif" w:hAnsi="Times New Roman;Times;Serif"/>
          <w:b w:val="false"/>
          <w:i w:val="false"/>
          <w:caps w:val="false"/>
          <w:smallCaps w:val="false"/>
          <w:sz w:val="20"/>
        </w:rPr>
        <w:t>”) of the Company’s issued and outstanding shares of common stock. The Reverse Stock Split is expected to become effective at 12:01 a.m. Pacific Time on June 11, 2026, and the Company’s common stock is expected to begin trading on a split-adjusted basis when the market opens on June 11,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by the Company, when the Reverse Stock Split becomes effective, every 5 shares of common stock issued and outstanding will be automatically reclassified and combined into one share of common stock. As of June 4, 2026, the Company has 365,077,512 shares of common stock outstanding, and assuming no additional shares of common stock are issued, the Reverse Stock Split will reduce the issued and outstanding shares of common stock to approximately 73,015,502 shares of common stock. Any additional shares of common stock issued prior to the Reverse Stock Split will be adjusted on the ratio described above. Upon completion of the Reverse Stock Split, the Company anticipates that its common stock will continue to trade on Cboe Canada and OTCQX under the symbol “VRNO”.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issuing fractional post-Reverse Stock Split shares of common stock in connection with the Reverse Stock Split. Stockholders who would otherwise hold a fractional share of the Company’s common stock following the Reverse Stock Split is expected to receive a cash payment in lieu thereof at a price equal to that fractional share to which the stockholder would otherwise be entitled—multiplied by the closing sale price of the common stock on Cboe Canada, as adjusted for the Reverse Stock Split—on the trading day preceding the effective date of the Reverse Stock Split. Each stockholder’s percentage ownership interest in the Company and proportional voting power will remain unchanged as a result of the Reverse Stock Split, except for adjustments that will result from rounding fractional shares down to whole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proportionate adjustment will be made to the per share exercise price and the number of shares issuable upon the exercise of all outstanding stock options and restricted stock units, and to any other securities convertible into shares of common stock, in accordance with the respective terms thereof.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Certificate of Change does not purport to be complete and is qualified in its entirety by reference to the full text of the Certificate of Change which is filed as Exhibit 3.1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ex3-1.htm">
              <w:r>
                <w:rPr>
                  <w:rStyle w:val="InternetLink"/>
                  <w:rFonts w:ascii="Times New Roman;Times;Serif" w:hAnsi="Times New Roman;Times;Serif"/>
                  <w:b w:val="false"/>
                  <w:i w:val="false"/>
                  <w:caps w:val="false"/>
                  <w:smallCaps w:val="false"/>
                  <w:sz w:val="20"/>
                </w:rPr>
                <w:t>Certificate of Change.</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405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1595"/>
        <w:gridCol w:w="2930"/>
      </w:tblGrid>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June 8, 2026 </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VERANO HOLDINGS CORP.</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Richard Tarapchak </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Tarapchak</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&amp; Treasurer </w:t>
            </w:r>
          </w:p>
        </w:tc>
      </w:tr>
    </w:tbl>
    <w:p>
      <w:pPr>
        <w:pStyle w:val="TextBody"/>
        <w:bidi w:val="0"/>
        <w:spacing w:before="0" w:after="0"/>
        <w:ind w:left="0" w:right="0" w:hanging="0"/>
        <w:jc w:val="left"/>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center"/>
        <w:rPr>
          <w:caps w:val="false"/>
          <w:smallCaps w:val="false"/>
        </w:rPr>
      </w:pPr>
      <w:bookmarkStart w:id="20" w:name="ex3-1.htm"/>
      <w:bookmarkStart w:id="21" w:name="ksex31"/>
      <w:bookmarkEnd w:id="20"/>
      <w:bookmarkEnd w:id="21"/>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005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10058400"/>
                    </a:xfrm>
                    <a:prstGeom prst="rect">
                      <a:avLst/>
                    </a:prstGeom>
                  </pic:spPr>
                </pic:pic>
              </a:graphicData>
            </a:graphic>
          </wp:inline>
        </w:drawing>
      </w: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30175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30175200"/>
                    </a:xfrm>
                    <a:prstGeom prst="rect">
                      <a:avLst/>
                    </a:prstGeom>
                  </pic:spPr>
                </pic:pic>
              </a:graphicData>
            </a:graphic>
          </wp:inline>
        </w:drawing>
      </w: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31422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31422975"/>
                    </a:xfrm>
                    <a:prstGeom prst="rect">
                      <a:avLst/>
                    </a:prstGeom>
                  </pic:spPr>
                </pic:pic>
              </a:graphicData>
            </a:graphic>
          </wp:inline>
        </w:drawing>
      </w: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870</Words>
  <Characters>4613</Characters>
  <CharactersWithSpaces>5505</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