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20,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VERANO HOLDINGS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29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4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000-56342</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78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rPr>
              <w:t>98-1583243</w:t>
            </w:r>
          </w:p>
        </w:tc>
      </w:tr>
      <w:tr>
        <w:trPr>
          <w:trHeight w:val="194"/>
        </w:trPr>
        <w:tc>
          <w:tcPr>
            <w:tcW w:w="2980" w:type="dxa"/>
            <w:vAlign w:val="bottom"/>
            <w:tcBorders>
              <w:top w:val="single" w:sz="8" w:color="auto"/>
            </w:tcBorders>
          </w:tcPr>
          <w:p>
            <w:pPr>
              <w:jc w:val="center"/>
              <w:ind w:left="550"/>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6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20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780" w:type="dxa"/>
            <w:vAlign w:val="bottom"/>
            <w:tcBorders>
              <w:top w:val="single" w:sz="8" w:color="auto"/>
            </w:tcBorders>
          </w:tcPr>
          <w:p>
            <w:pPr>
              <w:jc w:val="center"/>
              <w:ind w:right="7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9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2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78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2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224 West Hill Street, Suite 400</w:t>
            </w:r>
          </w:p>
        </w:tc>
        <w:tc>
          <w:tcPr>
            <w:tcW w:w="2780" w:type="dxa"/>
            <w:vAlign w:val="bottom"/>
          </w:tcPr>
          <w:p>
            <w:pPr>
              <w:spacing w:after="0"/>
              <w:rPr>
                <w:sz w:val="24"/>
                <w:szCs w:val="24"/>
                <w:color w:val="auto"/>
              </w:rPr>
            </w:pPr>
          </w:p>
        </w:tc>
      </w:tr>
      <w:tr>
        <w:trPr>
          <w:trHeight w:val="216"/>
        </w:trPr>
        <w:tc>
          <w:tcPr>
            <w:tcW w:w="2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2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Chicago, Illinois</w:t>
            </w:r>
          </w:p>
        </w:tc>
        <w:tc>
          <w:tcPr>
            <w:tcW w:w="2780" w:type="dxa"/>
            <w:vAlign w:val="bottom"/>
          </w:tcPr>
          <w:p>
            <w:pPr>
              <w:spacing w:after="0"/>
              <w:rPr>
                <w:sz w:val="18"/>
                <w:szCs w:val="18"/>
                <w:color w:val="auto"/>
              </w:rPr>
            </w:pPr>
          </w:p>
        </w:tc>
      </w:tr>
      <w:tr>
        <w:trPr>
          <w:trHeight w:val="238"/>
        </w:trPr>
        <w:tc>
          <w:tcPr>
            <w:tcW w:w="2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2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780" w:type="dxa"/>
            <w:vAlign w:val="bottom"/>
          </w:tcPr>
          <w:p>
            <w:pPr>
              <w:spacing w:after="0"/>
              <w:rPr>
                <w:sz w:val="20"/>
                <w:szCs w:val="20"/>
                <w:color w:val="auto"/>
              </w:rPr>
            </w:pPr>
          </w:p>
        </w:tc>
      </w:tr>
      <w:tr>
        <w:trPr>
          <w:trHeight w:val="410"/>
        </w:trPr>
        <w:tc>
          <w:tcPr>
            <w:tcW w:w="2980" w:type="dxa"/>
            <w:vAlign w:val="bottom"/>
          </w:tcPr>
          <w:p>
            <w:pPr>
              <w:spacing w:after="0"/>
              <w:rPr>
                <w:sz w:val="24"/>
                <w:szCs w:val="24"/>
                <w:color w:val="auto"/>
              </w:rPr>
            </w:pPr>
          </w:p>
        </w:tc>
        <w:tc>
          <w:tcPr>
            <w:tcW w:w="4460" w:type="dxa"/>
            <w:vAlign w:val="bottom"/>
            <w:gridSpan w:val="3"/>
          </w:tcPr>
          <w:p>
            <w:pPr>
              <w:jc w:val="right"/>
              <w:ind w:right="1510"/>
              <w:spacing w:after="0"/>
              <w:rPr>
                <w:sz w:val="20"/>
                <w:szCs w:val="20"/>
                <w:color w:val="auto"/>
              </w:rPr>
            </w:pPr>
            <w:r>
              <w:rPr>
                <w:rFonts w:ascii="Times New Roman" w:cs="Times New Roman" w:eastAsia="Times New Roman" w:hAnsi="Times New Roman"/>
                <w:sz w:val="18"/>
                <w:szCs w:val="18"/>
                <w:b w:val="1"/>
                <w:bCs w:val="1"/>
                <w:color w:val="auto"/>
              </w:rPr>
              <w:t>60610</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38"/>
        </w:trPr>
        <w:tc>
          <w:tcPr>
            <w:tcW w:w="2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2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(Zip Code)</w:t>
            </w:r>
          </w:p>
        </w:tc>
        <w:tc>
          <w:tcPr>
            <w:tcW w:w="2780" w:type="dxa"/>
            <w:vAlign w:val="bottom"/>
          </w:tcPr>
          <w:p>
            <w:pPr>
              <w:spacing w:after="0"/>
              <w:rPr>
                <w:sz w:val="20"/>
                <w:szCs w:val="20"/>
                <w:color w:val="auto"/>
              </w:rPr>
            </w:pPr>
          </w:p>
        </w:tc>
      </w:tr>
      <w:tr>
        <w:trPr>
          <w:trHeight w:val="410"/>
        </w:trPr>
        <w:tc>
          <w:tcPr>
            <w:tcW w:w="2980" w:type="dxa"/>
            <w:vAlign w:val="bottom"/>
          </w:tcPr>
          <w:p>
            <w:pPr>
              <w:spacing w:after="0"/>
              <w:rPr>
                <w:sz w:val="24"/>
                <w:szCs w:val="24"/>
                <w:color w:val="auto"/>
              </w:rPr>
            </w:pPr>
          </w:p>
        </w:tc>
        <w:tc>
          <w:tcPr>
            <w:tcW w:w="4460" w:type="dxa"/>
            <w:vAlign w:val="bottom"/>
            <w:gridSpan w:val="3"/>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(312) 265-0730</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38"/>
        </w:trPr>
        <w:tc>
          <w:tcPr>
            <w:tcW w:w="2980" w:type="dxa"/>
            <w:vAlign w:val="bottom"/>
          </w:tcPr>
          <w:p>
            <w:pPr>
              <w:spacing w:after="0"/>
              <w:rPr>
                <w:sz w:val="20"/>
                <w:szCs w:val="20"/>
                <w:color w:val="auto"/>
              </w:rPr>
            </w:pPr>
          </w:p>
        </w:tc>
        <w:tc>
          <w:tcPr>
            <w:tcW w:w="548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(Registrant’s Telephone Number, Including Area Code)</w:t>
            </w:r>
          </w:p>
        </w:tc>
        <w:tc>
          <w:tcPr>
            <w:tcW w:w="2780" w:type="dxa"/>
            <w:vAlign w:val="bottom"/>
          </w:tcPr>
          <w:p>
            <w:pPr>
              <w:spacing w:after="0"/>
              <w:rPr>
                <w:sz w:val="20"/>
                <w:szCs w:val="20"/>
                <w:color w:val="auto"/>
              </w:rPr>
            </w:pPr>
          </w:p>
        </w:tc>
      </w:tr>
      <w:tr>
        <w:trPr>
          <w:trHeight w:val="410"/>
        </w:trPr>
        <w:tc>
          <w:tcPr>
            <w:tcW w:w="2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2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N/A</w:t>
            </w:r>
          </w:p>
        </w:tc>
        <w:tc>
          <w:tcPr>
            <w:tcW w:w="2780" w:type="dxa"/>
            <w:vAlign w:val="bottom"/>
          </w:tcPr>
          <w:p>
            <w:pPr>
              <w:spacing w:after="0"/>
              <w:rPr>
                <w:sz w:val="24"/>
                <w:szCs w:val="24"/>
                <w:color w:val="auto"/>
              </w:rPr>
            </w:pPr>
          </w:p>
        </w:tc>
      </w:tr>
      <w:tr>
        <w:trPr>
          <w:trHeight w:val="238"/>
        </w:trPr>
        <w:tc>
          <w:tcPr>
            <w:tcW w:w="2980" w:type="dxa"/>
            <w:vAlign w:val="bottom"/>
          </w:tcPr>
          <w:p>
            <w:pPr>
              <w:spacing w:after="0"/>
              <w:rPr>
                <w:sz w:val="20"/>
                <w:szCs w:val="20"/>
                <w:color w:val="auto"/>
              </w:rPr>
            </w:pPr>
          </w:p>
        </w:tc>
        <w:tc>
          <w:tcPr>
            <w:tcW w:w="548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2780" w:type="dxa"/>
            <w:vAlign w:val="bottom"/>
          </w:tcPr>
          <w:p>
            <w:pPr>
              <w:spacing w:after="0"/>
              <w:rPr>
                <w:sz w:val="20"/>
                <w:szCs w:val="20"/>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332"/>
        <w:spacing w:after="0" w:line="498"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N/A</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5.05 Amendments to the Registrant’s Code of Ethics, or Waiver of a Provision of the Code of Ethics.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as part of Verano Holdings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governance practices, the Company’s Board of Directors reviews the Company’s Code of Business Conduct and Ethics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On June 20, 2026, the Board of Directors approved updates to the Code, including updates to: (1) align to other Company corporate governance documents; (2) further reflect the Company’s domicile in the U.S. state of Nevada; and (3) update language in the following sections: (a) corporate opportunities, (b) competition and fair dealing, (c) confidentiality, and (d) protection and proper use of Company assets. Additionally, the Code was updated for other non-substantive changes.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Adoption of the revisions to the Code does not result in any waiver to any officer, director, or employee of the Company, explicit or implicit, from any provision of the prior version of the Code. The ethical principles underlying each provision of the prior version of the Code remain substantively unchanged.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Code is qualified in its entirety by reference to the full text of the Code attached as Exhibit 14. The Code will also be available on the Company’s website (investors.verano.com). The information on the Company’s website does not constitute part of this Current Report on Form 8-K for any purpose and is not incorporated by reference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40"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7"/>
          <w:szCs w:val="17"/>
          <w:u w:val="single" w:color="auto"/>
          <w:color w:val="0000EE"/>
        </w:rPr>
        <w:t>Code of Business Conduct and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ind w:left="5580" w:right="4320" w:hanging="5572"/>
        <w:spacing w:after="0" w:line="511" w:lineRule="auto"/>
        <w:tabs>
          <w:tab w:leader="none" w:pos="110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June 23, 2026</w:t>
      </w:r>
      <w:r>
        <w:rPr>
          <w:sz w:val="20"/>
          <w:szCs w:val="20"/>
          <w:color w:val="auto"/>
        </w:rPr>
        <w:tab/>
      </w:r>
      <w:r>
        <w:rPr>
          <w:rFonts w:ascii="Times New Roman" w:cs="Times New Roman" w:eastAsia="Times New Roman" w:hAnsi="Times New Roman"/>
          <w:sz w:val="17"/>
          <w:szCs w:val="17"/>
          <w:color w:val="auto"/>
        </w:rPr>
        <w:t>VERANO HOLDINGS CORP.</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Laura Marie Kalesnik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Laura Marie Kalesnik</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Legal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60"/>
          </w:cols>
          <w:pgMar w:left="320" w:top="684" w:right="91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14.1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Last Amended Effective June 20, 2026</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Code of Business Conduct and Ethics (this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describes the basic principles of conduct that we share as officers, employees, contractors and agents of Verano Holdings Corp. and its predecessors, successors, assigns, parents, affiliates, subsidiaries, and related companies (collectively,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This Code also applies to the members of our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You are expected to comply with the policies set forth in this Code. Violation of this Code may result in disciplinary action, varying from discipline to dismissal.</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Code is intended to provide a broad overview of basic ethical principles that guide our conduct. In some circumstances, we maintain more specific policies on the topics referred to in this Code. Should you have any questions regarding these policies, please contact your supervisor, our Chief People Office, or our Chief Legal Officer.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Honest and Ethical Conduct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policy is to exhibit and promote high standards of integrity by conducting our affairs honestly and ethically, including acting in good faith, responsibly, with due care, competence and diligence, without misrepresenting material facts or allowing independent judgment to be subordinated. Each director, officer, employee, agent and contractor must act with integrity and observe the highest ethical standards of business conduct in his or her dealings with our customers, suppliers, partners, service providers, competitors, employees and anyone else with whom he or she has contact in the course of performing his or her job.</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Laws, Rules and Regulations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comply with all applicable laws, rules and regulations, including any rules and regulations of the stock exchanges on which Company securities are listed (an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If a law, rule or regulation is unclear, or may conflict with a provision of this Code or other Company policies, you should seek advice from your People Operations Partner, our Chief People Officer, or our Chief Legal Officer, but always seek to act in accordance with the ethical standards described in this Code.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It is our policy that we conduct our business affairs in the best interest of the Company and should therefore avoid situations where our private interests interfere in any way with the Company’s interests. We need to be especially sensitive to situations that have even the appearance of impropriety and promptly report them to a People Business Partner, supervisor, or if appropriate, a more senior manager or our Chief Legal Officer.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conflict of interest occurs when an individual’s private interest (or the interests of their family) interferes, or even appears to interfere, with the interests of the Company as a whole. A conflict of interest can arise when an employee, officer, director, agent or contractor (or a member of their family) takes actions or has interests that may make it difficult to perform his or her work for the Company objectively and effectively.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Conflicts of interest also arise when an employee, officer, director, agent or contractor (or a member of his or her family) receives improper personal benefits as a result of his or her position in the Company.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Loans by the Company to, or guarantees by the Company of, obligations of directors, officers, employees, agents, contractors or their family members are of special concern. Loans by the Company to, or guarantees by the Company of, obligations of any director or executive officer are expressly prohibited. Whether or not a conflict of interest exists or will exist can be unclear. Conflicts of interest should be avoided unless specifically authorized as described in the paragraph below.</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may request information from directors, executive officers, other employees, agents and contractors regarding potential conflicts of interest, including information about potential related party transactions as defined under U.S. generally accepted accounting principals. Failure to provide accurate information in response to such requests may be a violation of this Policy.</w:t>
      </w:r>
    </w:p>
    <w:p>
      <w:pPr>
        <w:spacing w:after="0" w:line="17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Persons other than directors and executive officers who have questions about a potential conflict of interest or who become aware of an actual or potential conflict should discuss the matter with, and seek a determination and prior authorization or approval from, their supervisor or the Chief Legal Officer. A supervisor may not authorize or approve conflict of interest matters or make determinations as to whether a problematic conflict of interest exists without first providing the Chief Legal Officer with a written description of the activity and seeking the Chief Legal Officer’s written approval. </w:t>
      </w:r>
      <w:r>
        <w:rPr>
          <w:rFonts w:ascii="Times New Roman" w:cs="Times New Roman" w:eastAsia="Times New Roman" w:hAnsi="Times New Roman"/>
          <w:sz w:val="18"/>
          <w:szCs w:val="18"/>
          <w:color w:val="auto"/>
        </w:rPr>
        <w:t>If the supervisor is himself or herself involved in the potential or actual conflict, the matter should instead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discussed directly with the Chief Legal Officer. </w:t>
      </w:r>
      <w:r>
        <w:rPr>
          <w:rFonts w:ascii="Times New Roman" w:cs="Times New Roman" w:eastAsia="Times New Roman" w:hAnsi="Times New Roman"/>
          <w:sz w:val="18"/>
          <w:szCs w:val="18"/>
          <w:b w:val="1"/>
          <w:bCs w:val="1"/>
          <w:color w:val="auto"/>
        </w:rPr>
        <w:t>Directors and executive officers must seek determinations and prior authorizations or approvals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potential conflicts of interest, including potential conflicts of interest with members of their family, as detailed in the Related Party Transaction Policy. </w:t>
      </w:r>
      <w:r>
        <w:rPr>
          <w:rFonts w:ascii="Times New Roman" w:cs="Times New Roman" w:eastAsia="Times New Roman" w:hAnsi="Times New Roman"/>
          <w:sz w:val="18"/>
          <w:szCs w:val="18"/>
          <w:color w:val="auto"/>
        </w:rPr>
        <w:t>For more information and additional considerations, see our “Verano Holdings Corp. Related Party Transactions Policy”.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Record-Keeping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require honest and accurate recording and reporting of information to make responsible business decisions. We document and record our business expenses accurately in accordance with the Company’s Travel and Expense Policy. Questionable expenses should be discussed with the appropriate personnel in our accounting department.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of our books, records, accounts and financial statements are maintained in reasonable detail, appropriately reflect our transactions and conform both to applicable legal requirements and to our system of internal controls. Questions regarding this should be discussed with the appropriate personnel in our accounting department or a member of our internal audit department.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avoid exaggeration, derogatory remarks, guesswork or inappropriate characterizations of people and companies in our business records and communications. Questions regarding this as it relates to our financial records should be discussed with our accounting team, and all other questions regarding this should be discussed with our legal department. We maintain our records according to our record retention policies. In accordance with those policies, in the event of litigation or governmental investigation, please consult our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Public Reporting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public reporting company, we file reports and other documents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and with the Exchange and may file reports in other jurisdictions, as applicable. As well, we issue press releases and make other public statements that include financial and other information about our business, recent developments, financial condition and results of operations. We endeavor to make full, fair, accurate, timely and understandable disclosure in reports and documents we file with, or submit to, the SEC, the Exchange and other jurisdictions, as applicable, and in our press releases and public communications.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require cooperation and open communication with our internal and external auditors. It is illegal to take any action to fraudulently influence, coerce, manipulate or mislead any internal or external auditor engaged in the performance of an audit of our financial statements.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laws and regulations applicable to filings made with the SEC, the Exchange or other jurisdictions, as applicable, including those applicable to accounting matters, are complex. While the ultimate responsibility for the information included in these reports rests with senior management, numerous other employees participate in the preparation of these reports or provide information included in these reports. We maintain disclosure controls and procedures to ensure that the information included in the reports that we file or submit to the SEC, the Exchange or other jurisdictions is collected and communicated to senior management to permit timely disclosure of the required information.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Company asks you to provide, review, or certify information in connection with our disclosure controls and procedures, you must provide the requested information or otherwise respond in a full, accurate and timely manner. Moreover, even in the absence of a specific request, you should report to your supervisor any significant information that you believe should be considered for disclosure in our reports to the SEC, the Exchange or other applicable jurisdictions.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you have questions or are uncertain as to how our disclosure controls and procedures may apply in a specific circumstance, promptly contact your supervisor or a more senior manager. We want you to ask questions and seek advice. Additional information regarding how to report your questions or concerns (including on a confidential, anonymous basis) is included below in this Code under the heading “Reporting Illegal or Unethical Behavior.”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do not trade in Company securities on the basis of material, non-public information concerning the Company and we do not trade in the securities of any other company while in possession of material, non-public information about such company that was obtained in the course of our involvement with such company, nor do we “tip” others who may trade in the Company’s securities. Insider trading is both unethical and illegal and will be dealt with decisively. For more information on our insider trading policy, see the “Verano Holdings Corp. Insider Trading and Confidentiality Policy”.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Opportunities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Employees, officers and directors owe a duty to the Company to advance its legitimate interests when the opportunity to do so arises. We (or our friends and family members) do not personally take opportunities that are discovered through the use of Company property, information or position without the prior consent of our Board. We do not use Company property, information or position for personal gain (or for the benefit of friends or family members). Our directors, officers and employees are also prohibited from competing with the Company without prior approval of such opportunity by the Board. Competition and Fair Dealing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compete fairly and honestly with customers, suppliers, competitors, partners, service providers, employees and anyone else with whom we have contact in the course of performing our job. We do not take unfair advantage of anyone through manipulation, concealment, abuse of privileged information, misrepresentation of material facts, or any other unfair-dealing practices.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Entertainment and Gifts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recognize that business entertainment and gifts are meant to create goodwill and sound working relationships, not to gain unfair advantage with customers or suppliers. Neither we nor our family members offer, give or accept any gift or entertainment unless it: (1) is not a cash gift, (2) is consistent with customary business practices, (3) is not excessive in value, (4) cannot be construed as a bribe or payoff and (5) does not violate any laws or regulations. Any questionable gift or invitation should be discussed with a supervisor, our Chief People Officer, or, if appropriate, our Chief Legal Officer.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Discrimination and Harassment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diversity of our employees is a tremendous asset. We provide equal opportunity in all aspects of employment and will not tolerate discrimination or harassment of any kind. Derogatory comments based on racial or ethnic characteristics, unwelcome sexual advances and similar behavior are prohibited. We expect conduct violations of this Policy witnessed by you to be reported as provided below in this Code under “Reporting Illegal or Unethical Behavior.”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and Safety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committed to providing a safe and healthy work environment. We ensure a safe and healthy work environment by following safety and health rules and practices and promptly reporting accidents, injuries and unsafe equipment, practices or conditions to a People Business Partner, supervisor or more senior manager.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do not permit violence or threatening behavior in our workplaces. We report to work in condition to perform our duties at our best, free from the influence of illegal drugs or alcohol. We do not tolerate the use of illegal drugs in the workplace and you are not allowed to possess firearms or other dangerous weapons or devices at work.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Confidentiality</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We protect and expect employees, officers and directors to maintain confidentiality of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as defined below, entrusted to them by us or by customers, except when disclosure of such Confidential Information is expressly authorized or where such disclosure is legally mandated. ““Confidential Information” means all confidential and/or proprietary information and trade secrets of the Company, whether oral, written or recorded electronically or otherwise, regarding the Company or the Company’s business, including but not limited to information regarding the Company’s intellectual property and technology (whether owned or licensed), patents and patent applications, trademarks and trademark applications, research and development, recipes, ingredients, new product launches, designs, inventions, contracts, strategic and business plans, major management changes, mergers and acquisitions, investor agreements, technical specifications, product sources, pricing, proposals, financial data, employee data, customer and supplier data, product costs, marketing campaigns, systems, manufacturing, production, operations, system configurations, tools, equipment, software, hardware, partnerships, engineering data and specifications, technical knowledge, know-how, techniques, manuals, products, processes, sales and marketing data, prices, earnings, debts, business plans, financial information and forecasts, prospects, business arrangements, customer lists, lists of suppliers, vendors and resources, operating policies and procedures, methods of operation and business strategies, whether or not such information is deemed “trade secrets” under applicable law, as well as any non-public information that might be of use to competitors or harmful to us or our customers if disclosed. It also includes information that suppliers, customers and other business relations have entrusted to us on a confidential basis. Our personal obligation not to disclose Confidential Information continues even after employment 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Protection and Proper Use of Company Assets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employees, officers and directors must protect the Company’s assets and ensure their efficient use. Theft, carelessness, and waste of Company assets have a direct impact on our profitability and should be avoided. All Company assets should be used for legitimate business purposes. Any suspected incident of fraud or theft should be immediately reported to a supervisor or, if appropriate, a more senior manager for investigation. We carefully safeguard our Confidential Information. Unauthorized use or distribution of Confidential Information is prohibited and could also be illegal, resulting in civil or even criminal penalties.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to Government Personnel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compliance with the United States Foreign Corrupt Practices Act, we do not give anything of value, directly or indirectly, to officials of foreign governments or foreign political candidates to obtain or retain business. We do not promise, offer, or deliver to any foreign or domestic government employee or official or any third party any gift, favor or other gratuity that would be illegal. Our Chief Legal Officer can provide guidance in this area.</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laws or customs of Canada or other countries in which we may operate may be less clear. It is our policy to comply with those laws or customs; however, if a local law or custom seems to contradict the principles described in this Code, contact a supervisor or our Chief Legal Officer for guidance.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Waivers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Only our Board or the Audit Committee of our Board (in the case of a violation by a director or executive officer) may waive a provision of this Code, and any waiver will be promptly disclosed if and as required by law or applicable rule. Waivers of this Code for any other employee may be made only by our Chief Legal Officer, and then only under special circumstances. Any waiver for a director or an executive officer shall be disclosed as required by SEC rules, and Exchange rules and the rules of laws of any other jurisdictions that may be applicable.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Reporting Illegal or Unethical Behavior</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To encourage reports of illegal or unethical behavior (including violations of this Code), we keep all reports confidential and do not allow retaliation for good faith reports of possible misconduct by others. It is also our duty to cooperate in internal investigations of alleged misconduct.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must all work to ensure prompt and consistent action against unethical or illegal behavior. Oftentimes a violation of this Code will be easy to recognize and should be promptly reported to a People Business Partner, supervisor or, if appropriate, a more senior manager. However, in some situations it is difficult to know right from wrong. Since none of us can anticipate every situation that will arise, it is important that we have a way to approach a new or sensitive question or concern. Please also review the Company’s Whistleblower Policy, available on our website, for additional information.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Here are some questions that can be asked:</w:t>
      </w:r>
    </w:p>
    <w:p>
      <w:pPr>
        <w:spacing w:after="0" w:line="22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What do I need to know? </w:t>
      </w:r>
      <w:r>
        <w:rPr>
          <w:rFonts w:ascii="Times New Roman" w:cs="Times New Roman" w:eastAsia="Times New Roman" w:hAnsi="Times New Roman"/>
          <w:sz w:val="18"/>
          <w:szCs w:val="18"/>
          <w:color w:val="auto"/>
        </w:rPr>
        <w:t>To reach the right solutions, we must be as fully informed as possible.</w:t>
      </w:r>
    </w:p>
    <w:p>
      <w:pPr>
        <w:spacing w:after="0" w:line="225"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What specifically am I being asked to do? Does it seem unethical or improper? </w:t>
      </w:r>
      <w:r>
        <w:rPr>
          <w:rFonts w:ascii="Times New Roman" w:cs="Times New Roman" w:eastAsia="Times New Roman" w:hAnsi="Times New Roman"/>
          <w:sz w:val="18"/>
          <w:szCs w:val="18"/>
          <w:color w:val="auto"/>
        </w:rPr>
        <w:t>This will focus the inquiry on the specific action in question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available alternatives. Use judgment and common sense. If something seems unethical or improper, it probably is.</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What is my responsibility? </w:t>
      </w:r>
      <w:r>
        <w:rPr>
          <w:rFonts w:ascii="Times New Roman" w:cs="Times New Roman" w:eastAsia="Times New Roman" w:hAnsi="Times New Roman"/>
          <w:sz w:val="18"/>
          <w:szCs w:val="18"/>
          <w:color w:val="auto"/>
        </w:rPr>
        <w:t>In most situations, there is shared responsibility. Should colleagues be informed? It may help to get others involved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discuss the issue.</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Have I discussed the issue with a People Business Partner or supervisor? </w:t>
      </w:r>
      <w:r>
        <w:rPr>
          <w:rFonts w:ascii="Times New Roman" w:cs="Times New Roman" w:eastAsia="Times New Roman" w:hAnsi="Times New Roman"/>
          <w:sz w:val="18"/>
          <w:szCs w:val="18"/>
          <w:color w:val="auto"/>
        </w:rPr>
        <w:t>This is the basic guidance for all situations. In many cases, a People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Partner or supervisor will be more knowledgeable about the question and will appreciate being brought into the decision-making process. Remember that it is the People Business Partner’s or supervisor’s responsibility to help solve problems.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Should I seek help from Company management? </w:t>
      </w:r>
      <w:r>
        <w:rPr>
          <w:rFonts w:ascii="Times New Roman" w:cs="Times New Roman" w:eastAsia="Times New Roman" w:hAnsi="Times New Roman"/>
          <w:sz w:val="18"/>
          <w:szCs w:val="18"/>
          <w:color w:val="auto"/>
        </w:rPr>
        <w:t>In the case in which it may not be appropriate to discuss an issue with a supervisor, or where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you would not be comfortable approaching a supervisor with your question, discuss it with your People Business Partner, our Chief People Officer, or our Chief Legal Officer.</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What should I do if I do not feel comfortable discussing my concerns with the Company parties listed above, or if I have discussed this with these parties and do not feel my concerns have been addressed? </w:t>
      </w:r>
      <w:r>
        <w:rPr>
          <w:rFonts w:ascii="Times New Roman" w:cs="Times New Roman" w:eastAsia="Times New Roman" w:hAnsi="Times New Roman"/>
          <w:sz w:val="18"/>
          <w:szCs w:val="18"/>
          <w:color w:val="auto"/>
        </w:rPr>
        <w:t>Please consult the Company’s Whistleblower Policy for additional reporting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options.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What if I fear retaliation? </w:t>
      </w:r>
      <w:r>
        <w:rPr>
          <w:rFonts w:ascii="Times New Roman" w:cs="Times New Roman" w:eastAsia="Times New Roman" w:hAnsi="Times New Roman"/>
          <w:sz w:val="18"/>
          <w:szCs w:val="18"/>
          <w:color w:val="auto"/>
        </w:rPr>
        <w:t>The Company does not tolerate acts of retaliation against any director, officer, employee, agent or contractor who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makes a good faith report of known or suspected acts of misconduct or other violations of this Code, and any such retaliation may be a violation of the Company’s Whistleblower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Enforcement and Accountability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Board or a committee of our Board is responsible for applying this Code to specific situations in which questions are presented to it and has the authority to interpret this Code in any particular situation. The Board or a committee of our Board will determine, or designate appropriate persons to determine, actions that it considers appropriate to investigate any alleged violations of this Code reported to it and to enforce this Code with respect to any violations. Such actions must be reasonably designed to deter wrongdoing and to promote accountability for adherence to the Code and must include notice to the individual involved that the Board has determined that there has been a violation, censure by the Board, demotion or reassignment of the individual involved, suspension with or without pay or benefits (as determined by the Board) and termination of the individual’s employment. In determining what action is appropriate in a particular case, the Board or committee of our Board or such designee will take into account all relevant information, including the nature and severity of the violation, whether the violation was a single occurrence or repeated occurrences, whether the violation appears to have been intentional or inadvertent, whether the individual in question had been advised prior to the violation as to the proper course of action and whether or not the individual in question had committed other violations in the past.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purposes of this Code, the terms “</w:t>
      </w:r>
      <w:r>
        <w:rPr>
          <w:rFonts w:ascii="Times New Roman" w:cs="Times New Roman" w:eastAsia="Times New Roman" w:hAnsi="Times New Roman"/>
          <w:sz w:val="18"/>
          <w:szCs w:val="18"/>
          <w:u w:val="single" w:color="auto"/>
          <w:color w:val="auto"/>
        </w:rPr>
        <w:t>executive officers,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employees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supervisor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general counsel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senior manager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personnel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 our accounting department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internal auditor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senior management,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executive officers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management</w:t>
      </w:r>
      <w:r>
        <w:rPr>
          <w:rFonts w:ascii="Times New Roman" w:cs="Times New Roman" w:eastAsia="Times New Roman" w:hAnsi="Times New Roman"/>
          <w:sz w:val="18"/>
          <w:szCs w:val="18"/>
          <w:color w:val="auto"/>
        </w:rPr>
        <w:t>” include, and this Code applies to, individuals that are employed by, or agents or contractors of, a subsidiary or affiliate of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Policy is considered a material policy of the Company. Any violation of this Policy is a violation of a material Company policy.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good name and reputation depend, to a very large extent, upon you taking personal responsibility for maintaining and adhering to the policies and guidelines set forth in this Code. Your business conduct on behalf of the Company must be guided by the policies and guidelines set forth in this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2026-06-23T15:25:40Z</dcterms:created>
  <dcterms:modified xsi:type="dcterms:W3CDTF">2026-06-23T15:25:40Z</dcterms:modified>
</cp:coreProperties>
</file>