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61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June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VERANO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both"/>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60618"/>
            <w:bookmarkEnd w:id="6"/>
            <w:r>
              <w:rPr>
                <w:rFonts w:ascii="Times New Roman;Times;Serif" w:hAnsi="Times New Roman;Times;Serif"/>
                <w:b/>
                <w:i w:val="false"/>
                <w:caps w:val="false"/>
                <w:smallCaps w:val="false"/>
                <w:sz w:val="20"/>
              </w:rPr>
              <w:t>000-56342</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98-1583243</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224 West Hill Street, </w:t>
      </w:r>
      <w:bookmarkStart w:id="9" w:name="xdx_906_edei--EntityAddressAddressLine2_"/>
      <w:bookmarkEnd w:id="9"/>
      <w:r>
        <w:rPr>
          <w:rFonts w:ascii="Times New Roman;Times;Serif" w:hAnsi="Times New Roman;Times;Serif"/>
          <w:b/>
          <w:i w:val="false"/>
          <w:caps w:val="false"/>
          <w:smallCaps w:val="false"/>
          <w:sz w:val="20"/>
        </w:rPr>
        <w:t>Suite 400,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Chicago, </w:t>
      </w:r>
      <w:bookmarkStart w:id="11" w:name="xdx_909_edei--EntityAddressStateOrProvin"/>
      <w:bookmarkEnd w:id="11"/>
      <w:r>
        <w:rPr>
          <w:rFonts w:ascii="Times New Roman;Times;Serif" w:hAnsi="Times New Roman;Times;Serif"/>
          <w:b/>
          <w:i w:val="false"/>
          <w:caps w:val="false"/>
          <w:smallCaps w:val="false"/>
          <w:sz w:val="20"/>
        </w:rPr>
        <w:t xml:space="preserve">Illinois </w:t>
      </w:r>
      <w:bookmarkStart w:id="12" w:name="xdx_905_edei--EntityAddressPostalZipCode"/>
      <w:bookmarkEnd w:id="12"/>
      <w:r>
        <w:rPr>
          <w:rFonts w:ascii="Times New Roman;Times;Serif" w:hAnsi="Times New Roman;Times;Serif"/>
          <w:b/>
          <w:i w:val="false"/>
          <w:caps w:val="false"/>
          <w:smallCaps w:val="false"/>
          <w:sz w:val="20"/>
        </w:rPr>
        <w:t>60610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w:t>
      </w:r>
      <w:r>
        <w:rPr>
          <w:rFonts w:ascii="Times New Roman;Times;Serif" w:hAnsi="Times New Roman;Times;Serif"/>
          <w:b/>
          <w:i w:val="false"/>
          <w:caps w:val="false"/>
          <w:smallCaps w:val="false"/>
          <w:sz w:val="20"/>
          <w:shd w:fill="FFFFFF" w:val="clear"/>
        </w:rPr>
        <w:t>(Zip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0_edei--CityAreaCode_c20260618__20"/>
      <w:bookmarkEnd w:id="13"/>
      <w:r>
        <w:rPr>
          <w:rFonts w:ascii="Times New Roman;Times;Serif" w:hAnsi="Times New Roman;Times;Serif"/>
          <w:b/>
          <w:i w:val="false"/>
          <w:caps w:val="false"/>
          <w:smallCaps w:val="false"/>
          <w:sz w:val="20"/>
        </w:rPr>
        <w:t xml:space="preserve">(312) </w:t>
      </w:r>
      <w:bookmarkStart w:id="14" w:name="xdx_905_edei--LocalPhoneNumber_c20260618"/>
      <w:bookmarkEnd w:id="14"/>
      <w:r>
        <w:rPr>
          <w:rFonts w:ascii="Times New Roman;Times;Serif" w:hAnsi="Times New Roman;Times;Serif"/>
          <w:b/>
          <w:i w:val="false"/>
          <w:caps w:val="false"/>
          <w:smallCaps w:val="false"/>
          <w:sz w:val="20"/>
        </w:rPr>
        <w:t>265-0730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B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8_edei--SolicitingMaterial_c202606"/>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C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5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780" w:type="dxa"/>
        <w:jc w:val="left"/>
        <w:tblInd w:w="0" w:type="dxa"/>
        <w:tblLayout w:type="fixed"/>
        <w:tblCellMar>
          <w:top w:w="0" w:type="dxa"/>
          <w:left w:w="0" w:type="dxa"/>
          <w:bottom w:w="28" w:type="dxa"/>
          <w:right w:w="0" w:type="dxa"/>
        </w:tblCellMar>
      </w:tblPr>
      <w:tblGrid>
        <w:gridCol w:w="1535"/>
        <w:gridCol w:w="60"/>
        <w:gridCol w:w="1415"/>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7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Verano Holdings Corp. (the “Company”) held its 2026 Annual Meeting of Stockholders (the “Annual Meeting”) virtually. As of the close of business on the record date of April 24, 2026, there were 364,381,806 shares of Company common stock, par value $0.001 (the “Common Stock”) outstanding and entitled to vote at the Annual Meeting. Please note that the number of shares outstanding and number of shares in the voting results below do not reflect the Company’s previously announced reverse stock split, which became effective on June 11,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the following proposals were submitted to a vote of the Company’s stockholders, with the final voting results indicated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1</w:t>
      </w:r>
      <w:r>
        <w:rPr>
          <w:rFonts w:ascii="Times New Roman;Times;Serif" w:hAnsi="Times New Roman;Times;Serif"/>
          <w:b w:val="false"/>
          <w:i w:val="false"/>
          <w:caps w:val="false"/>
          <w:smallCaps w:val="false"/>
          <w:sz w:val="20"/>
        </w:rPr>
        <w:t>: The Company’s stockholders elected the following five directors to serve as directors of the Board for terms expiring at the Company’s 2027 Annual Meeting of Stockholders and until their successors are duly elected or appointed and qualified. The results of the vote taken are as follows:</w:t>
      </w:r>
    </w:p>
    <w:p>
      <w:pPr>
        <w:pStyle w:val="TextBody"/>
        <w:bidi w:val="0"/>
        <w:spacing w:before="0" w:after="0"/>
        <w:ind w:left="0" w:right="0" w:hanging="0"/>
        <w:jc w:val="both"/>
        <w:rPr>
          <w:caps w:val="false"/>
          <w:smallCaps w:val="false"/>
        </w:rPr>
      </w:pPr>
      <w:r>
        <w:rPr>
          <w:caps w:val="false"/>
          <w:smallCaps w:val="false"/>
        </w:rPr>
        <w:t> </w:t>
      </w:r>
    </w:p>
    <w:tbl>
      <w:tblPr>
        <w:tblW w:w="6650" w:type="dxa"/>
        <w:jc w:val="left"/>
        <w:tblInd w:w="0" w:type="dxa"/>
        <w:tblLayout w:type="fixed"/>
        <w:tblCellMar>
          <w:top w:w="0" w:type="dxa"/>
          <w:left w:w="0" w:type="dxa"/>
          <w:bottom w:w="0" w:type="dxa"/>
          <w:right w:w="0" w:type="dxa"/>
        </w:tblCellMar>
      </w:tblPr>
      <w:tblGrid>
        <w:gridCol w:w="1415"/>
        <w:gridCol w:w="60"/>
        <w:gridCol w:w="1745"/>
        <w:gridCol w:w="60"/>
        <w:gridCol w:w="1745"/>
        <w:gridCol w:w="60"/>
        <w:gridCol w:w="1565"/>
      </w:tblGrid>
      <w:tr>
        <w:trPr/>
        <w:tc>
          <w:tcPr>
            <w:tcW w:w="14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Voted For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Withheld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George Archos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58,960,500 (91.80%)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5,268,208 (8.20%)</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5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70,910,643</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Lawrence Hirsh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63,210,484 (98.41%)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1,018,224 (1.59%)</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65" w:type="dxa"/>
            <w:tcBorders/>
            <w:shd w:fill="FFFFFF" w:val="cle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70,910,643</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Charles Mueller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63,431,423 (98.76%)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797,285 (1.24%)</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565" w:type="dxa"/>
            <w:tcBorders/>
            <w:shd w:fill="CCEEFF" w:val="cle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70,910,643</w:t>
            </w:r>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Cristina Nuñez</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63,270,054 (98.51%)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958,654 (1.49%)</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65" w:type="dxa"/>
            <w:tcBorders/>
            <w:shd w:fill="FFFFFF" w:val="cle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70,910,643</w:t>
            </w:r>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Tipton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51,528,299 (80.23%)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12,700,409 (19.77%)</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565" w:type="dxa"/>
            <w:tcBorders/>
            <w:shd w:fill="CCEEFF" w:val="cle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70,910,643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2:</w:t>
      </w:r>
      <w:r>
        <w:rPr>
          <w:rFonts w:ascii="Times New Roman;Times;Serif" w:hAnsi="Times New Roman;Times;Serif"/>
          <w:b w:val="false"/>
          <w:i w:val="false"/>
          <w:caps w:val="false"/>
          <w:smallCaps w:val="false"/>
          <w:sz w:val="20"/>
        </w:rPr>
        <w:t xml:space="preserve"> The Company’s stockholders approved, on a non-binding advisory basis, the compensation of the Company’s Named Executive Officers (the “Say-on-Pay Vote”). The results of the vote taken are as follows:</w:t>
      </w:r>
    </w:p>
    <w:p>
      <w:pPr>
        <w:pStyle w:val="TextBody"/>
        <w:bidi w:val="0"/>
        <w:spacing w:before="0" w:after="0"/>
        <w:ind w:left="0" w:right="0" w:hanging="0"/>
        <w:jc w:val="both"/>
        <w:rPr>
          <w:caps w:val="false"/>
          <w:smallCaps w:val="false"/>
        </w:rPr>
      </w:pPr>
      <w:r>
        <w:rPr>
          <w:caps w:val="false"/>
          <w:smallCaps w:val="false"/>
        </w:rPr>
        <w:t> </w:t>
      </w:r>
    </w:p>
    <w:tbl>
      <w:tblPr>
        <w:tblW w:w="6710" w:type="dxa"/>
        <w:jc w:val="left"/>
        <w:tblInd w:w="0" w:type="dxa"/>
        <w:tblLayout w:type="fixed"/>
        <w:tblCellMar>
          <w:top w:w="0" w:type="dxa"/>
          <w:left w:w="0" w:type="dxa"/>
          <w:bottom w:w="28" w:type="dxa"/>
          <w:right w:w="0" w:type="dxa"/>
        </w:tblCellMar>
      </w:tblPr>
      <w:tblGrid>
        <w:gridCol w:w="1760"/>
        <w:gridCol w:w="60"/>
        <w:gridCol w:w="1820"/>
        <w:gridCol w:w="60"/>
        <w:gridCol w:w="1385"/>
        <w:gridCol w:w="60"/>
        <w:gridCol w:w="1565"/>
      </w:tblGrid>
      <w:tr>
        <w:trPr/>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Voted 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Voted 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7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60,147,000 (93.64%)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3,497,620 (5.44%)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584,088 (0.90%)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70,910,643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The Company’s stockholders ratified the appointment of Macias Gini &amp; O’Connell LLP (“MGO”) as the Company’s independent registered public accounting firm for the year ending December 31, 2026. The results of the vote taken are as follows:</w:t>
      </w:r>
    </w:p>
    <w:p>
      <w:pPr>
        <w:pStyle w:val="TextBody"/>
        <w:bidi w:val="0"/>
        <w:spacing w:before="0" w:after="0"/>
        <w:ind w:left="0" w:right="0" w:firstLine="360"/>
        <w:jc w:val="both"/>
        <w:rPr>
          <w:caps w:val="false"/>
          <w:smallCaps w:val="false"/>
        </w:rPr>
      </w:pPr>
      <w:r>
        <w:rPr>
          <w:caps w:val="false"/>
          <w:smallCaps w:val="false"/>
        </w:rPr>
        <w:t> </w:t>
      </w:r>
    </w:p>
    <w:tbl>
      <w:tblPr>
        <w:tblW w:w="5205" w:type="dxa"/>
        <w:jc w:val="left"/>
        <w:tblInd w:w="0" w:type="dxa"/>
        <w:tblLayout w:type="fixed"/>
        <w:tblCellMar>
          <w:top w:w="0" w:type="dxa"/>
          <w:left w:w="0" w:type="dxa"/>
          <w:bottom w:w="28" w:type="dxa"/>
          <w:right w:w="0" w:type="dxa"/>
        </w:tblCellMar>
      </w:tblPr>
      <w:tblGrid>
        <w:gridCol w:w="1865"/>
        <w:gridCol w:w="60"/>
        <w:gridCol w:w="1820"/>
        <w:gridCol w:w="60"/>
        <w:gridCol w:w="1400"/>
      </w:tblGrid>
      <w:tr>
        <w:trPr/>
        <w:tc>
          <w:tcPr>
            <w:tcW w:w="18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Voted 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Voted 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r>
      <w:tr>
        <w:trPr/>
        <w:tc>
          <w:tcPr>
            <w:tcW w:w="18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132,946,148 (98.37%)</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1,397,949 (1.03%)</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795,254 (0.58%)</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4</w:t>
      </w:r>
      <w:r>
        <w:rPr>
          <w:rFonts w:ascii="Times New Roman;Times;Serif" w:hAnsi="Times New Roman;Times;Serif"/>
          <w:b w:val="false"/>
          <w:i w:val="false"/>
          <w:caps w:val="false"/>
          <w:smallCaps w:val="false"/>
          <w:sz w:val="20"/>
        </w:rPr>
        <w:t>: The Company’s stockholders reapproved the existing Verano Holdings Corp. Stock and Incentive Plan and approved all unallocated entitlements thereunder, and that the Company be able to grant awards under the Equity Plan until June 18, 2029. The results of the vote taken are as follows:</w:t>
      </w:r>
    </w:p>
    <w:p>
      <w:pPr>
        <w:pStyle w:val="TextBody"/>
        <w:bidi w:val="0"/>
        <w:spacing w:before="0" w:after="0"/>
        <w:ind w:left="0" w:right="0" w:hanging="0"/>
        <w:jc w:val="both"/>
        <w:rPr>
          <w:caps w:val="false"/>
          <w:smallCaps w:val="false"/>
        </w:rPr>
      </w:pPr>
      <w:r>
        <w:rPr>
          <w:caps w:val="false"/>
          <w:smallCaps w:val="false"/>
        </w:rPr>
        <w:t> </w:t>
      </w:r>
    </w:p>
    <w:tbl>
      <w:tblPr>
        <w:tblW w:w="6710" w:type="dxa"/>
        <w:jc w:val="left"/>
        <w:tblInd w:w="0" w:type="dxa"/>
        <w:tblLayout w:type="fixed"/>
        <w:tblCellMar>
          <w:top w:w="0" w:type="dxa"/>
          <w:left w:w="0" w:type="dxa"/>
          <w:bottom w:w="28" w:type="dxa"/>
          <w:right w:w="0" w:type="dxa"/>
        </w:tblCellMar>
      </w:tblPr>
      <w:tblGrid>
        <w:gridCol w:w="1760"/>
        <w:gridCol w:w="60"/>
        <w:gridCol w:w="1820"/>
        <w:gridCol w:w="60"/>
        <w:gridCol w:w="1385"/>
        <w:gridCol w:w="60"/>
        <w:gridCol w:w="1565"/>
      </w:tblGrid>
      <w:tr>
        <w:trPr/>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Voted 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Voted 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Abstentions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7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60,296,224 (93.87%)</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3,588,506 (5.58%)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343,978 (0.53%)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70,910,643</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75" w:type="dxa"/>
        <w:jc w:val="left"/>
        <w:tblInd w:w="0" w:type="dxa"/>
        <w:tblLayout w:type="fixed"/>
        <w:tblCellMar>
          <w:top w:w="0" w:type="dxa"/>
          <w:left w:w="0" w:type="dxa"/>
          <w:bottom w:w="0" w:type="dxa"/>
          <w:right w:w="0" w:type="dxa"/>
        </w:tblCellMar>
      </w:tblPr>
      <w:tblGrid>
        <w:gridCol w:w="1655"/>
        <w:gridCol w:w="545"/>
        <w:gridCol w:w="417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472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VERANO HOLDINGS CORP.</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1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18,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Laura Marie Kalesnik </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Marie Kalesnik</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 General Counsel and Secretary</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4111</Characters>
  <CharactersWithSpaces>4838</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