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144"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144"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14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VERANO HOLDINGS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275"/>
        <w:gridCol w:w="60"/>
        <w:gridCol w:w="1535"/>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98-1583243</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 West Hill Street, Suite 400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60610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60654</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Verano Holdings Corp. Stock and Incentive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George Archos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 Chief Executive Officer and President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 W. Hill Street, Suite 400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 60610</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265-0730</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communications, including communications sent to agent for service, should be sent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Alexander M. Schwartz</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Nicholas J Pappas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Sheppard, Mullin, Richter &amp; Hampton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 North Clark Street, 32nd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 60654</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499-6300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144"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are not required to be, and are not, filed with the Securities and Exchange Commission (the “SEC”), either as part of this Registration Statement on Form S-8 (this “Registration Statement”) or as prospectuses or prospectus supplements pursuant to Rule 424 under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statement required by Item 2 of Part I of Form S-8 is included in documents that will be delivered to participants in the plan covered by this Registration Statement pursuant to Rule 428(b) of the Securities Act.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144"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information is deemed furnished and not filed pursuant to securities laws and regulations, the following documents, which have been filed by Verano Holdings Corp. (the “Registrant”) with the SEC, are incorporated into this Registration Statement by reference: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 xml:space="preserve">The Registrant’s Annual Report on </w:t>
            </w:r>
            <w:hyperlink r:id="rId2">
              <w:r>
                <w:rPr>
                  <w:rStyle w:val="InternetLink"/>
                  <w:rFonts w:ascii="Times New Roman;Times;Serif" w:hAnsi="Times New Roman;Times;Serif"/>
                  <w:sz w:val="20"/>
                </w:rPr>
                <w:t>Form 10-K</w:t>
              </w:r>
            </w:hyperlink>
            <w:r>
              <w:rPr>
                <w:rFonts w:ascii="Times New Roman;Times;Serif" w:hAnsi="Times New Roman;Times;Serif"/>
                <w:sz w:val="20"/>
              </w:rPr>
              <w:t xml:space="preserve"> for the fiscal year ended December 31, 2025, filed with the SEC on March 12, 2026;</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 xml:space="preserve">The Registrant’s Quarterly Report on </w:t>
            </w:r>
            <w:hyperlink r:id="rId3">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March 31, 2026, filed with the SEC on April 30, 2026;</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 xml:space="preserve">The Registrant’s Current Reports on Form 8-K filed with the SEC on </w:t>
            </w:r>
            <w:hyperlink r:id="rId4">
              <w:r>
                <w:rPr>
                  <w:rStyle w:val="InternetLink"/>
                  <w:rFonts w:ascii="Times New Roman;Times;Serif" w:hAnsi="Times New Roman;Times;Serif"/>
                  <w:sz w:val="20"/>
                </w:rPr>
                <w:t>January 15, 2026</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March 12, 2026</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March 18,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April 30,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June 1,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June 2,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June 8,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June 11,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June 18, 2026</w:t>
              </w:r>
            </w:hyperlink>
            <w:r>
              <w:rPr>
                <w:rFonts w:ascii="Times New Roman;Times;Serif" w:hAnsi="Times New Roman;Times;Serif"/>
                <w:sz w:val="20"/>
              </w:rPr>
              <w:t xml:space="preserve">, and </w:t>
            </w:r>
            <w:hyperlink r:id="rId13">
              <w:r>
                <w:rPr>
                  <w:rStyle w:val="InternetLink"/>
                  <w:rFonts w:ascii="Times New Roman;Times;Serif" w:hAnsi="Times New Roman;Times;Serif"/>
                  <w:sz w:val="20"/>
                </w:rPr>
                <w:t>June 23, 2026</w:t>
              </w:r>
            </w:hyperlink>
            <w:r>
              <w:rPr>
                <w:rFonts w:ascii="Times New Roman;Times;Serif" w:hAnsi="Times New Roman;Times;Serif"/>
                <w:sz w:val="20"/>
              </w:rPr>
              <w:t xml:space="preserve"> except to the extent information therein is deemed furnished and not filed pursuant to securities laws and regulations; and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 xml:space="preserve">The description of the Registrant’s capital stock included as </w:t>
            </w:r>
            <w:hyperlink r:id="rId14">
              <w:r>
                <w:rPr>
                  <w:rStyle w:val="InternetLink"/>
                  <w:rFonts w:ascii="Times New Roman;Times;Serif" w:hAnsi="Times New Roman;Times;Serif"/>
                  <w:sz w:val="20"/>
                </w:rPr>
                <w:t>Exhibit 4.1</w:t>
              </w:r>
            </w:hyperlink>
            <w:r>
              <w:rPr>
                <w:rFonts w:ascii="Times New Roman;Times;Serif" w:hAnsi="Times New Roman;Times;Serif"/>
                <w:sz w:val="20"/>
              </w:rPr>
              <w:t xml:space="preserve"> to the Registrant’s Current Report on </w:t>
            </w:r>
            <w:hyperlink r:id="rId15">
              <w:r>
                <w:rPr>
                  <w:rStyle w:val="InternetLink"/>
                  <w:rFonts w:ascii="Times New Roman;Times;Serif" w:hAnsi="Times New Roman;Times;Serif"/>
                  <w:sz w:val="20"/>
                </w:rPr>
                <w:t>Form 8-K12G3</w:t>
              </w:r>
            </w:hyperlink>
            <w:r>
              <w:rPr>
                <w:rFonts w:ascii="Times New Roman;Times;Serif" w:hAnsi="Times New Roman;Times;Serif"/>
                <w:sz w:val="20"/>
              </w:rPr>
              <w:t>, filed with the SEC on November 4, 2025.</w:t>
            </w:r>
          </w:p>
        </w:tc>
      </w:tr>
    </w:tbl>
    <w:p>
      <w:pPr>
        <w:pStyle w:val="TextBody"/>
        <w:bidi w:val="0"/>
        <w:spacing w:before="0" w:after="0"/>
        <w:ind w:left="144"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information is deemed furnished and not filed pursuant to securities laws and regulations, all documents subsequently filed by the Registrant with the SEC pursuant to Sections 13(a), 13(c), 14 or 15(d) of the Securities Exchange Act of 1934, as amended (the “Exchange Act”), subsequent to the date hereof and prior to the filing of a post-effective amendment to this Registration Statement which indicates that all securities offered have been sold or which deregisters all securities then remaining unsold, shall be deemed incorporated by reference into this Registration Statement and to be a part hereof from the date of the filing of such documents.</w:t>
      </w:r>
    </w:p>
    <w:p>
      <w:pPr>
        <w:pStyle w:val="TextBody"/>
        <w:bidi w:val="0"/>
        <w:spacing w:before="0" w:after="0"/>
        <w:ind w:left="144"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into this Registration Statement, modifies or supersedes such earlier statement. Any statement so modified or superseded shall not be deemed, except as so modified or superseded, to constitute a part of this Registration Statement.</w:t>
      </w:r>
    </w:p>
    <w:p>
      <w:pPr>
        <w:pStyle w:val="TextBody"/>
        <w:bidi w:val="0"/>
        <w:spacing w:before="0" w:after="0"/>
        <w:ind w:left="144"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 Revised Statutes and the Registrant’s Articles and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Revised Statutes (the “NRS”) 78.138(7) provides that, subject to certain exceptions under Nevada law, unless the articles of incorporation or an amendment thereto provide for greater individual liability, a director or officer is not individually liable to a corporation or its stockholders or creditors for any damage as a result of any act or failure to act in his or her capacity as a director or officer, unless the presumption of the business judgment rule set forth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that he or she reasonably believed to be in, or not opposed to, the best interests of the corporation and, with respect to any criminal action or proceeding, had no reasonable cause to believe the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that he or she reasonably believed to be in, or not opposed to, the best interests of the corporation; provided, however,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any other court of competent jurisdiction determines upon application that, in view of all of the circumstances of the case, the person is fairly and reasonably entitled to indemnity for such expenses as the court deems proper.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78.751 further provides that indemnification pursuant to the statutory mechanism provided under NRS 78.7502 does not exclude any other rights to which a person seeking indemnification or advancement of expenses may be entitled under the registrant’s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bylaws provide for indemnification of directors and officers in their respective capacities as such and in any and all other capacities in which any of the serves at the Registrant’s request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D&amp;O Insurance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78.752(1) provides that a corporation may purchase and maintain insurance or make other financial arrangements on behalf of any person who is or was a director, officer, employee or agent of the corporation, or is or was serving at the request of the corporation as a director, officer, employee or agent of another corporation, partnership, joint venture, trust or other enterprise for any liability asserted against the person and liability and expenses incurred by the person in his or her capacity as a director, officer, employee or agent, or arising out of his or her status as such, whether or not the corporation has the authority to indemnify such person against liability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obtained directors and officers liability insurance (“D&amp;O Insurance”) for the benefit of the Registrant’s directors and officers and intends to maintain D&amp;O Insurance. D&amp;O Insurance is insurance coverage intended to protect individuals serving as directors or officers of a business or other type of organization from personal losses if such individuals are sued as a result of serving as directors or officers of a business or other type of organization. D&amp;O Insurance may also cover the legal fees and other costs the business or other type of organization may incur as a result of such suits against its directors 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14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6"/>
        <w:gridCol w:w="60"/>
        <w:gridCol w:w="9329"/>
      </w:tblGrid>
      <w:tr>
        <w:trPr/>
        <w:tc>
          <w:tcPr>
            <w:tcW w:w="816"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Articles of Domestication (filed as Exhibit 3.1 to the Registrant’s Current Report on Form 8-K12G3 filed on November 4, 2025 (File No. 000-56342) and incorporated by reference herein).</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Articles of Incorporation (filed as Exhibit 3.2 to the Registrant’s Current Report on Form 8-K12G3 filed on November 4, 2025 (File No. 000-56342) and incorporated by reference herein).</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Bylaws (filed as Exhibit 3.3 to the Registrant’s Current Report on Form 8-K12G3 filed on November 4, 2025 (File No. 000-56342) and incorporated by reference herein).</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Change (filed as Exhibit 3.1 to the Registrant’s Current Report on Form 8-K filed on June 8, 2026 (File No. 000-56342) and incorporated by reference herein).</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Sheppard, Mullin, Richter &amp; Hampton LLP.</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Verano Holdings Corp. Stock and Incentive Plan (filed as Exhibit 10.1 to the Registrant’s Current Report on Form 8-K12G3 filed on November 4, 2025 (File No. 000-56342) and incorporated by reference herein).</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Equity Award Agreement for Stock Option (filed as Exhibit 10.2 to the Registrant’s Current Report on Form 8-K12G3 filed on November 4, 2025 (File No. 000-56342) and incorporated by reference herein).</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Equity Award Agreement for RSU (filed as Exhibit 10.3 to the Registrant’s Current Report on Form 8-K12G3 filed on November 4, 2025 (File No. 000-56342) and incorporated by reference herein).</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Macias Gini &amp; O’Connell LLP.</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Sheppard, Mullin, Richter &amp; Hampton LLP (included in Exhibit 5.1 to this Registration Statement).</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Power of Attorney (included on the signature page to this Registration Statement).</w:t>
              </w:r>
            </w:hyperlink>
          </w:p>
        </w:tc>
      </w:tr>
      <w:tr>
        <w:trPr/>
        <w:tc>
          <w:tcPr>
            <w:tcW w:w="8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29"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with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July 9, 2026.</w:t>
      </w:r>
    </w:p>
    <w:p>
      <w:pPr>
        <w:pStyle w:val="TextBody"/>
        <w:bidi w:val="0"/>
        <w:spacing w:before="0" w:after="0"/>
        <w:ind w:left="144" w:right="0" w:firstLine="72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545"/>
        <w:gridCol w:w="3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VERANO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George Archos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Archos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Chief Executive Officer and 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each of George Archos and Laura Kalesnik, acting alone or with another attorney-in-fact, his or her true and lawful attorney-in-fact and agent, with full power of substitution and resubstitution, for such person and in his or her name, place and stead, in any and all capacities, to sign any and all amendments to this Registration Statement on Form S-8 of the Registrant and any subsequent registration statements related thereto pursuant to Instruction E to Form S-8 (and all further amendments, including post-effective amendments thereto), and to file the same, with all exhibits thereto, and other documents in connection therewith, with the SEC, and generally to do all such things in their names and behalf in their capacities as officers and directors, as applicable, to enable the Registrant to comply with the provisions of the Securities Act and all requirements of the SEC,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or her substitutes or substitute, may lawfully do or cause to be done by virtue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090"/>
        <w:gridCol w:w="60"/>
        <w:gridCol w:w="3620"/>
        <w:gridCol w:w="60"/>
        <w:gridCol w:w="1160"/>
      </w:tblGrid>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George Archos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Chief Executive Officer and President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Archos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C. Tarapchak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C. Tarapchak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 Heine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Corporate Controller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Heine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Lawrence Hirsh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July 9,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Hirsh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Cristina Nuñez</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July 9,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Cristina Nuñez</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Charles Mueller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July 9,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Mueller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John Tipton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July 9,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Tipton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ex5-1.htm"/>
      <w:bookmarkStart w:id="4" w:name="ks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6665" w:type="dxa"/>
        <w:jc w:val="left"/>
        <w:tblInd w:w="0" w:type="dxa"/>
        <w:tblLayout w:type="fixed"/>
        <w:tblCellMar>
          <w:top w:w="0" w:type="dxa"/>
          <w:left w:w="0" w:type="dxa"/>
          <w:bottom w:w="0" w:type="dxa"/>
          <w:right w:w="0" w:type="dxa"/>
        </w:tblCellMar>
      </w:tblPr>
      <w:tblGrid>
        <w:gridCol w:w="3480"/>
        <w:gridCol w:w="60"/>
        <w:gridCol w:w="3125"/>
      </w:tblGrid>
      <w:tr>
        <w:trPr/>
        <w:tc>
          <w:tcPr>
            <w:tcW w:w="3480" w:type="dxa"/>
            <w:tcBorders/>
            <w:vAlign w:val="center"/>
          </w:tcPr>
          <w:p>
            <w:pPr>
              <w:pStyle w:val="TableContents"/>
              <w:bidi w:val="0"/>
              <w:spacing w:before="0" w:after="283"/>
              <w:jc w:val="left"/>
              <w:rPr/>
            </w:pPr>
            <w:r>
              <w:rPr/>
              <w:drawing>
                <wp:inline distT="0" distB="0" distL="0" distR="0">
                  <wp:extent cx="220027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3"/>
                          <a:stretch>
                            <a:fillRect/>
                          </a:stretch>
                        </pic:blipFill>
                        <pic:spPr bwMode="auto">
                          <a:xfrm>
                            <a:off x="0" y="0"/>
                            <a:ext cx="2200275" cy="2952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Sheppard, Mullin, Richter &amp; Hampton LLP</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321 North Clark Street, 32nd Floor</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Chicago, Illinois 60654</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312.499.6300 main</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312.499.6301 fax</w:t>
            </w:r>
          </w:p>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www.sheppardmullin.com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 Holdings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West Hill Street, Suite 400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Chicago, IL 60610 </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Statement on Form S-8</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requested our opinion with respect to certain matters in connection with the filing by Verano Holdings Corp.,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of a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covering 5,000,000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which may be issued pursuant to the Verano Holdings Corp. Stock and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(this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is being furnished in accordance with the requirements of Item 8 of Form S-8 and Item 601(b)(5)(i)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reviewed and relied upon the Registration Statement, the Company’s Articles of Incorporation, as in effect on the date hereof, the Company’s Bylaws, as in effect on the date hereof, the proceedings taken by the Company with respect to the authorization and adoption of the Plan, resolutions adopted by the board of directors of the Company, and such other documents, records, certificates, memoranda and other instruments as we deem necessary as a basis for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documents, we have assumed the genuineness of all signatures, the authenticity of all documents submitted to us as originals, and the conformity to original of all documents submitted to us as certified or reproduced copies. We have also assumed that the Shares will be uncertificated in accordance with Section 78.235 of the Nevada Revised Statutes, and the transfer agent therefor will register the purchaser thereof as the registered owner of any uncertificated Shares on its stock transfer books and records. We have further assumed that (a) Shares of Common Stock currently reserved for issuance under the Plan will remain available for the issuance of the Shares, and (b) neither the Company’s charter documents nor any of the proceedings relating to either the Plan or any of the award agreements relating to the Shares will be rescinded, amended or otherwise modified prior to the issuance of the Shares. We have also obtained from public officials and officers of the Company certificates or comparable documents as to certain factual matters and, insofar as this Opinion is based on matters of fact, we have relied on such certificates and comparable documents without independent investigation. We have made such other investigations as we have deemed relevant and necessary in connection with the opinions hereinafter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Shares, when issued and sold in the manner referred to in the Plan and against proper payment and consideration thereof and pursuant to the agreements that accompany the Plan, will be legally and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Exhibit 5.1 to the Registration Statement. In giving such consent, we do not thereby admit that we are included in the category of persons whose consent is required under Section 7 of the Securities Act or the rules and regulations of the Commission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corporate laws of the State of Nevada (including the statutory provisions, all applicable provisions of the Nevada Revised Statutes and reported judicial decisions interpreting the foregoing) and we express no opinion as to the effect on the matters covered by this letter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Shares, the Plan, the award agreements related to the Shares, or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Sheppard, Mullin, Richter &amp; Hampton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SHEPPARD, MULLIN, RICHTER &amp; HAMPTON </w:t>
      </w:r>
      <w:r>
        <w:rPr>
          <w:rFonts w:ascii="Times New Roman;Times;Serif" w:hAnsi="Times New Roman;Times;Serif"/>
          <w:b w:val="false"/>
          <w:i w:val="false"/>
          <w:caps/>
          <w:sz w:val="20"/>
        </w:rPr>
        <w:t>LLP</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caps w:val="false"/>
          <w:smallCaps w:val="false"/>
        </w:rPr>
      </w:pPr>
      <w:bookmarkStart w:id="5" w:name="ex23-1.htm"/>
      <w:bookmarkStart w:id="6" w:name="ks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Verano Holdings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Verano Holdings Corp. on Form S-8 of our report dated March 12, 2026 relating to the consolidated financial statements of Verano Holdings Corp. and the effectiveness of Verano Holdings Corp.’s internal control over financial reporting appearing in the entity’s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Macias Gini &amp; O’Connell LLP</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Macias Gini &amp; O’Connell LLP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Normal"/>
        <w:bidi w:val="0"/>
        <w:spacing w:before="0" w:after="0"/>
        <w:ind w:left="0" w:right="0" w:hanging="0"/>
        <w:jc w:val="left"/>
        <w:rPr>
          <w:sz w:val="4"/>
          <w:szCs w:val="4"/>
        </w:rPr>
      </w:pPr>
      <w:r>
        <w:rPr>
          <w:sz w:val="4"/>
          <w:szCs w:val="4"/>
        </w:rPr>
      </w:r>
      <w:bookmarkStart w:id="7" w:name="ex107.htm"/>
      <w:bookmarkStart w:id="8" w:name="ksex107"/>
      <w:bookmarkStart w:id="9" w:name="ex107.htm"/>
      <w:bookmarkStart w:id="10" w:name="ksex107"/>
      <w:bookmarkEnd w:id="9"/>
      <w:bookmarkEnd w:id="10"/>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Verano Holdings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5"/>
        <w:gridCol w:w="1292"/>
        <w:gridCol w:w="1201"/>
        <w:gridCol w:w="1214"/>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5" w:type="dxa"/>
            <w:tcBorders/>
            <w:shd w:fill="E7E7E2" w:val="clear"/>
            <w:vAlign w:val="center"/>
          </w:tcPr>
          <w:p>
            <w:pPr>
              <w:pStyle w:val="TableContents"/>
              <w:bidi w:val="0"/>
              <w:spacing w:before="0" w:after="283"/>
              <w:jc w:val="left"/>
              <w:rPr/>
            </w:pPr>
            <w:r>
              <w:rPr/>
              <w:t xml:space="preserve">Common Stock, par value $0.001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5,000,000 </w:t>
            </w:r>
          </w:p>
        </w:tc>
        <w:tc>
          <w:tcPr>
            <w:tcW w:w="1214" w:type="dxa"/>
            <w:tcBorders/>
            <w:shd w:fill="E7E7E2" w:val="clear"/>
            <w:vAlign w:val="center"/>
          </w:tcPr>
          <w:p>
            <w:pPr>
              <w:pStyle w:val="TableContents"/>
              <w:bidi w:val="0"/>
              <w:spacing w:before="0" w:after="283"/>
              <w:jc w:val="right"/>
              <w:rPr/>
            </w:pPr>
            <w:r>
              <w:rPr/>
              <w:t xml:space="preserve">$ 5.985 </w:t>
            </w:r>
          </w:p>
        </w:tc>
        <w:tc>
          <w:tcPr>
            <w:tcW w:w="1701" w:type="dxa"/>
            <w:tcBorders/>
            <w:shd w:fill="E7E7E2" w:val="clear"/>
            <w:vAlign w:val="center"/>
          </w:tcPr>
          <w:p>
            <w:pPr>
              <w:pStyle w:val="TableContents"/>
              <w:bidi w:val="0"/>
              <w:spacing w:before="0" w:after="283"/>
              <w:jc w:val="right"/>
              <w:rPr/>
            </w:pPr>
            <w:r>
              <w:rPr/>
              <w:t xml:space="preserve">$ 29,925,000.00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$ 4,133.00 </w:t>
            </w:r>
          </w:p>
        </w:tc>
      </w:tr>
      <w:tr>
        <w:trPr/>
        <w:tc>
          <w:tcPr>
            <w:tcW w:w="4735"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1" w:name="MaxAggtOfferingPrice"/>
            <w:bookmarkEnd w:id="11"/>
            <w:r>
              <w:rPr/>
              <w:t xml:space="preserve">$ 29,925,000.00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$ 4,133.00 </w:t>
            </w:r>
          </w:p>
        </w:tc>
      </w:tr>
      <w:tr>
        <w:trPr/>
        <w:tc>
          <w:tcPr>
            <w:tcW w:w="4735"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35"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4" w:name="NetFeeAmt"/>
            <w:bookmarkEnd w:id="14"/>
            <w:r>
              <w:rPr/>
              <w:t xml:space="preserve">$ 4,133.00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also cover any additional shares of the registrant's common stock that becomes issuable in respect of the securities identified in the above table by reason of any stock dividend, stock split, recapitalization or other similar transaction effected without the receipt of consideration that increases the number of the registrant's outstanding shares of common stock. Represents 5,000,000 shares of common stock reserved for issuance under the Verano Holdings Corp. Stock and Incentive Plan. Estimated in accordance with Rule 457(c) and (h) under the Securities Act solely for the purpose of computing the registration fee on the basis of the average of the high and low prices of the registrant's common stock on OTCQX on July 6,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8416/000162828026017011/vrnof-20251231.htm" TargetMode="External"/><Relationship Id="rId3" Type="http://schemas.openxmlformats.org/officeDocument/2006/relationships/hyperlink" Target="https://www.sec.gov/Archives/edgar/data/1848416/000162828026028574/vrno-20260331.htm" TargetMode="External"/><Relationship Id="rId4" Type="http://schemas.openxmlformats.org/officeDocument/2006/relationships/hyperlink" Target="https://www.sec.gov/Archives/edgar/data/1848416/000162828026002111/vrnof-20260112.htm" TargetMode="External"/><Relationship Id="rId5" Type="http://schemas.openxmlformats.org/officeDocument/2006/relationships/hyperlink" Target="https://www.sec.gov/Archives/edgar/data/1848416/000162828026017007/vrnof-20260312.htm" TargetMode="External"/><Relationship Id="rId6" Type="http://schemas.openxmlformats.org/officeDocument/2006/relationships/hyperlink" Target="https://www.sec.gov/Archives/edgar/data/1848416/000149315226011221/form8-k.htm" TargetMode="External"/><Relationship Id="rId7" Type="http://schemas.openxmlformats.org/officeDocument/2006/relationships/hyperlink" Target="https://www.sec.gov/Archives/edgar/data/1848416/000162828026028573/vrnof-20260430.htm" TargetMode="External"/><Relationship Id="rId8" Type="http://schemas.openxmlformats.org/officeDocument/2006/relationships/hyperlink" Target="https://www.sec.gov/Archives/edgar/data/1848416/000149315226026522/form8-k.htm" TargetMode="External"/><Relationship Id="rId9" Type="http://schemas.openxmlformats.org/officeDocument/2006/relationships/hyperlink" Target="https://www.sec.gov/Archives/edgar/data/1848416/000149315226026906/form8-k.htm" TargetMode="External"/><Relationship Id="rId10" Type="http://schemas.openxmlformats.org/officeDocument/2006/relationships/hyperlink" Target="https://www.sec.gov/Archives/edgar/data/1848416/000149315226027720/form8-k.htm" TargetMode="External"/><Relationship Id="rId11" Type="http://schemas.openxmlformats.org/officeDocument/2006/relationships/hyperlink" Target="https://www.sec.gov/Archives/edgar/data/1848416/000149315226028207/form8-k.htm" TargetMode="External"/><Relationship Id="rId12" Type="http://schemas.openxmlformats.org/officeDocument/2006/relationships/hyperlink" Target="https://www.sec.gov/Archives/edgar/data/1848416/000149315226029332/form8-k.htm" TargetMode="External"/><Relationship Id="rId13" Type="http://schemas.openxmlformats.org/officeDocument/2006/relationships/hyperlink" Target="https://www.sec.gov/Archives/edgar/data/1848416/000149315226029797/form8-k.htm" TargetMode="External"/><Relationship Id="rId14" Type="http://schemas.openxmlformats.org/officeDocument/2006/relationships/hyperlink" Target="https://www.sec.gov/Archives/edgar/data/1848416/000149315225020684/ex4-1.htm" TargetMode="External"/><Relationship Id="rId15" Type="http://schemas.openxmlformats.org/officeDocument/2006/relationships/hyperlink" Target="https://www.sec.gov/Archives/edgar/data/1848416/000149315225020684/form8-k12g3.htm" TargetMode="External"/><Relationship Id="rId16" Type="http://schemas.openxmlformats.org/officeDocument/2006/relationships/hyperlink" Target="https://www.sec.gov/Archives/edgar/data/1848416/000149315225020684/ex3-1.htm" TargetMode="External"/><Relationship Id="rId17" Type="http://schemas.openxmlformats.org/officeDocument/2006/relationships/hyperlink" Target="https://www.sec.gov/Archives/edgar/data/1848416/000149315225020684/ex3-2.htm" TargetMode="External"/><Relationship Id="rId18" Type="http://schemas.openxmlformats.org/officeDocument/2006/relationships/hyperlink" Target="https://www.sec.gov/Archives/edgar/data/1848416/000149315225020684/ex3-3.htm" TargetMode="External"/><Relationship Id="rId19" Type="http://schemas.openxmlformats.org/officeDocument/2006/relationships/hyperlink" Target="https://www.sec.gov/Archives/edgar/data/1848416/000149315226027720/ex3-1.htm" TargetMode="External"/><Relationship Id="rId20" Type="http://schemas.openxmlformats.org/officeDocument/2006/relationships/hyperlink" Target="https://www.sec.gov/Archives/edgar/data/1848416/000149315225020684/ex10-1.htm" TargetMode="External"/><Relationship Id="rId21" Type="http://schemas.openxmlformats.org/officeDocument/2006/relationships/hyperlink" Target="https://www.sec.gov/Archives/edgar/data/1848416/000149315225020684/ex10-2.htm" TargetMode="External"/><Relationship Id="rId22" Type="http://schemas.openxmlformats.org/officeDocument/2006/relationships/hyperlink" Target="https://www.sec.gov/Archives/edgar/data/1848416/000149315225020684/ex10-3.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4544</Words>
  <Characters>24019</Characters>
  <CharactersWithSpaces>28595</CharactersWithSpaces>
  <Paragraphs>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