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582930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608965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7" w:lineRule="exact"/>
        <w:rPr>
          <w:sz w:val="24"/>
          <w:szCs w:val="24"/>
          <w:color w:val="auto"/>
        </w:rPr>
      </w:pPr>
    </w:p>
    <w:p>
      <w:pPr>
        <w:ind w:left="3820" w:right="1620" w:hanging="3794"/>
        <w:spacing w:after="0" w:line="412" w:lineRule="auto"/>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540" w:hanging="453"/>
        <w:spacing w:after="0"/>
        <w:tabs>
          <w:tab w:leader="none" w:pos="5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13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58"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56"/>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34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3660" w:type="dxa"/>
            <w:vAlign w:val="bottom"/>
          </w:tcPr>
          <w:p>
            <w:pPr>
              <w:spacing w:after="0"/>
              <w:rPr>
                <w:sz w:val="23"/>
                <w:szCs w:val="23"/>
                <w:color w:val="auto"/>
              </w:rPr>
            </w:pPr>
          </w:p>
        </w:tc>
      </w:tr>
      <w:tr>
        <w:trPr>
          <w:trHeight w:val="238"/>
        </w:trPr>
        <w:tc>
          <w:tcPr>
            <w:tcW w:w="53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36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57"/>
        </w:trPr>
        <w:tc>
          <w:tcPr>
            <w:tcW w:w="5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265-0730</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7003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79"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20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w w:val="94"/>
              </w:rPr>
              <w:t>x</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r>
      <w:tr>
        <w:trPr>
          <w:trHeight w:val="257"/>
        </w:trPr>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2026, the registrant had 364,381,806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7003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40"/>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90"/>
        </w:trPr>
        <w:tc>
          <w:tcPr>
            <w:tcW w:w="20" w:type="dxa"/>
            <w:vAlign w:val="bottom"/>
            <w:shd w:val="clear" w:color="auto" w:fill="CCEEFF"/>
          </w:tcPr>
          <w:p>
            <w:pPr>
              <w:spacing w:after="0"/>
              <w:rPr>
                <w:sz w:val="16"/>
                <w:szCs w:val="16"/>
                <w:color w:val="auto"/>
              </w:rPr>
            </w:pPr>
          </w:p>
        </w:tc>
        <w:tc>
          <w:tcPr>
            <w:tcW w:w="10120" w:type="dxa"/>
            <w:vAlign w:val="bottom"/>
            <w:gridSpan w:val="24"/>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560" w:type="dxa"/>
            <w:vAlign w:val="bottom"/>
            <w:gridSpan w:val="4"/>
            <w:shd w:val="clear" w:color="auto" w:fill="CCEEFF"/>
          </w:tcPr>
          <w:p>
            <w:pPr>
              <w:jc w:val="center"/>
              <w:ind w:left="290"/>
              <w:spacing w:after="0" w:line="169" w:lineRule="exact"/>
              <w:rPr>
                <w:sz w:val="20"/>
                <w:szCs w:val="20"/>
                <w:color w:val="auto"/>
              </w:rPr>
            </w:pPr>
            <w:r>
              <w:rPr>
                <w:rFonts w:ascii="Times New Roman" w:cs="Times New Roman" w:eastAsia="Times New Roman" w:hAnsi="Times New Roman"/>
                <w:sz w:val="18"/>
                <w:szCs w:val="18"/>
                <w:color w:val="0000FF"/>
              </w:rPr>
              <w:t>1</w:t>
            </w:r>
          </w:p>
        </w:tc>
        <w:tc>
          <w:tcPr>
            <w:tcW w:w="380" w:type="dxa"/>
            <w:vAlign w:val="bottom"/>
            <w:shd w:val="clear" w:color="auto" w:fill="CCEEFF"/>
          </w:tcPr>
          <w:p>
            <w:pPr>
              <w:spacing w:after="0"/>
              <w:rPr>
                <w:sz w:val="16"/>
                <w:szCs w:val="16"/>
                <w:color w:val="auto"/>
              </w:rPr>
            </w:pPr>
          </w:p>
        </w:tc>
      </w:tr>
      <w:tr>
        <w:trPr>
          <w:trHeight w:val="68"/>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Financial Statements</w:t>
            </w:r>
          </w:p>
        </w:tc>
        <w:tc>
          <w:tcPr>
            <w:tcW w:w="560" w:type="dxa"/>
            <w:vAlign w:val="bottom"/>
            <w:gridSpan w:val="4"/>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3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60" w:type="dxa"/>
            <w:vAlign w:val="bottom"/>
            <w:gridSpan w:val="4"/>
            <w:shd w:val="clear" w:color="auto" w:fill="CCEEFF"/>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3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Operations</w:t>
            </w:r>
          </w:p>
        </w:tc>
        <w:tc>
          <w:tcPr>
            <w:tcW w:w="560" w:type="dxa"/>
            <w:vAlign w:val="bottom"/>
            <w:gridSpan w:val="4"/>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Changes in Stockholders' Equity</w:t>
            </w:r>
          </w:p>
        </w:tc>
        <w:tc>
          <w:tcPr>
            <w:tcW w:w="560" w:type="dxa"/>
            <w:vAlign w:val="bottom"/>
            <w:gridSpan w:val="4"/>
            <w:shd w:val="clear" w:color="auto" w:fill="CCEEFF"/>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3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Unaudited Interim Condensed Consolidated Statements of Cash Flows</w:t>
            </w:r>
          </w:p>
        </w:tc>
        <w:tc>
          <w:tcPr>
            <w:tcW w:w="560" w:type="dxa"/>
            <w:vAlign w:val="bottom"/>
            <w:gridSpan w:val="4"/>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560" w:type="dxa"/>
            <w:vAlign w:val="bottom"/>
            <w:gridSpan w:val="4"/>
            <w:shd w:val="clear" w:color="auto" w:fill="CCEEFF"/>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29</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108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4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1012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4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2"/>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8740" w:type="dxa"/>
            <w:vAlign w:val="bottom"/>
            <w:gridSpan w:val="19"/>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8740" w:type="dxa"/>
            <w:vAlign w:val="bottom"/>
            <w:gridSpan w:val="19"/>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42</w:t>
            </w:r>
          </w:p>
        </w:tc>
      </w:tr>
      <w:tr>
        <w:trPr>
          <w:trHeight w:val="61"/>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r>
      <w:tr>
        <w:trPr>
          <w:trHeight w:val="203"/>
        </w:trPr>
        <w:tc>
          <w:tcPr>
            <w:tcW w:w="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44</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illegality of cannabis under federal law, subject to recently enacted exceptions, the U.S. federal regulatory landscape and enforcement related to medical or adult use cannabis, including political risks, civil asset forfeiture and regulation by additional regulatory authorities;</w:t>
      </w:r>
    </w:p>
    <w:p>
      <w:pPr>
        <w:ind w:left="660" w:right="7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rescheduling may lower the barriers to entry for well-capitalized institutional competitors;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rescheduling process may be subject to significant procedural delays and legal challenges;</w:t>
      </w:r>
    </w:p>
    <w:p>
      <w:pPr>
        <w:ind w:left="660" w:hanging="328"/>
        <w:spacing w:after="0" w:line="21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cultivation biosecurity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manage, and monetize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resulting reliance on the performance of our subsidiaries and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and geographic concentration;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unionization efforts and labor shortages;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 due to our status as a reporting issuer under applicable securities legislation in all of the provinces and territories of Canada, being classified thereunder as an “SEC Foreign Issuer” for the purposes of Canadian securities laws;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our stockholders is unsuitable;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use of, or failure to effectively implement, artificial intelligence (AI) and automated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 available for cannabis products and the potential infringement by third parties;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7"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realize the anticipated benefits of the Company’s continuance out from the jurisdiction of the Province of British Columbia, Canada, to the jurisdiction of the U.S. State of Nevada (the “</w:t>
      </w:r>
      <w:r>
        <w:rPr>
          <w:rFonts w:ascii="Times New Roman" w:cs="Times New Roman" w:eastAsia="Times New Roman" w:hAnsi="Times New Roman"/>
          <w:sz w:val="18"/>
          <w:szCs w:val="18"/>
          <w:b w:val="1"/>
          <w:bCs w:val="1"/>
          <w:color w:val="auto"/>
        </w:rPr>
        <w:t>Continuance</w:t>
      </w:r>
      <w:r>
        <w:rPr>
          <w:rFonts w:ascii="Times New Roman" w:cs="Times New Roman" w:eastAsia="Times New Roman" w:hAnsi="Times New Roman"/>
          <w:sz w:val="18"/>
          <w:szCs w:val="18"/>
          <w:color w:val="auto"/>
        </w:rPr>
        <w:t>”), or to do so within the anticipated timeframe;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individual liability and indemnification rights against our directors, officers and employees under Nevada law;</w:t>
      </w:r>
    </w:p>
    <w:p>
      <w:pPr>
        <w:ind w:left="660" w:right="22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transactions that could be beneficial to our stockholders and may insulate our management from removal;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shares of common stock, par value $0.001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limited participation in our affairs;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holding Common Stock representing greater than 5% of our voting power;</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280E</w:t>
      </w:r>
      <w:r>
        <w:rPr>
          <w:rFonts w:ascii="Times New Roman" w:cs="Times New Roman" w:eastAsia="Times New Roman" w:hAnsi="Times New Roman"/>
          <w:sz w:val="18"/>
          <w:szCs w:val="18"/>
          <w:color w:val="auto"/>
        </w:rPr>
        <w:t>”); and</w:t>
      </w: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Annual Report on Form 10-K for the fiscal year ended December 31, 2025 filed with the U.S. Securities and Exchange Commission on March 12, 2026, as more particularly described under the heading “Item 1A. Risk Factors” therein.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Held for Sale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229,968</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82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404,651</w:t>
            </w:r>
          </w:p>
        </w:tc>
      </w:tr>
      <w:tr>
        <w:trPr>
          <w:trHeight w:val="216"/>
        </w:trPr>
        <w:tc>
          <w:tcPr>
            <w:tcW w:w="8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93,806</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161,009</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1,708,348</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1,741,594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9"/>
        </w:trPr>
        <w:tc>
          <w:tcPr>
            <w:tcW w:w="8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38,737</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69,301</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77"/>
        </w:trPr>
        <w:tc>
          <w:tcPr>
            <w:tcW w:w="82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140,261</w:t>
            </w:r>
          </w:p>
        </w:tc>
      </w:tr>
      <w:tr>
        <w:trPr>
          <w:trHeight w:val="196"/>
        </w:trPr>
        <w:tc>
          <w:tcPr>
            <w:tcW w:w="8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391,883</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91,086</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Uncertain Tax Positions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378,261</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36,643</w:t>
            </w: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77"/>
        </w:trPr>
        <w:tc>
          <w:tcPr>
            <w:tcW w:w="82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902,867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898,954</w:t>
            </w: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1,039,215</w:t>
            </w:r>
          </w:p>
        </w:tc>
      </w:tr>
      <w:tr>
        <w:trPr>
          <w:trHeight w:val="40"/>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5,000,000,000 authorized. 364,343,003 and 363,245,512 issued and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5"/>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1,000,000,000 authorized. No Preferred Stock issued or outstanding as of</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1,745,306</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OCI</w:t>
            </w:r>
          </w:p>
        </w:tc>
        <w:tc>
          <w:tcPr>
            <w:tcW w:w="2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8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(1,041,514)</w:t>
            </w: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704,156</w:t>
            </w:r>
          </w:p>
        </w:tc>
      </w:tr>
      <w:tr>
        <w:trPr>
          <w:trHeight w:val="41"/>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7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2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1,708,348</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1,741,594</w:t>
            </w:r>
          </w:p>
        </w:tc>
      </w:tr>
      <w:tr>
        <w:trPr>
          <w:trHeight w:val="27"/>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ectPr>
          <w:pgSz w:w="11900" w:h="16838" w:orient="portrait"/>
          <w:cols w:equalWidth="0" w:num="1">
            <w:col w:w="11240"/>
          </w:cols>
          <w:pgMar w:left="320" w:top="297" w:right="339" w:bottom="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40"/>
        </w:trPr>
        <w:tc>
          <w:tcPr>
            <w:tcW w:w="7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7"/>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1"/>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110,228</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99,581</w:t>
            </w:r>
          </w:p>
        </w:tc>
      </w:tr>
      <w:tr>
        <w:trPr>
          <w:trHeight w:val="41"/>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84,579</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r>
      <w:tr>
        <w:trPr>
          <w:trHeight w:val="40"/>
        </w:trPr>
        <w:tc>
          <w:tcPr>
            <w:tcW w:w="7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1"/>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10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40"/>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r>
      <w:tr>
        <w:trPr>
          <w:trHeight w:val="40"/>
        </w:trPr>
        <w:tc>
          <w:tcPr>
            <w:tcW w:w="7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83"/>
        </w:trPr>
        <w:tc>
          <w:tcPr>
            <w:tcW w:w="7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16"/>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r>
      <w:tr>
        <w:trPr>
          <w:trHeight w:val="196"/>
        </w:trPr>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30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 Subsidiaries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363,366,348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359,145,607</w:t>
            </w:r>
          </w:p>
        </w:tc>
      </w:tr>
      <w:tr>
        <w:trPr>
          <w:trHeight w:val="40"/>
        </w:trPr>
        <w:tc>
          <w:tcPr>
            <w:tcW w:w="7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Voting Shares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1"/>
                <w:szCs w:val="11"/>
                <w:color w:val="auto"/>
              </w:rPr>
            </w:pPr>
          </w:p>
        </w:tc>
        <w:tc>
          <w:tcPr>
            <w:tcW w:w="10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359,718,318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1,738,497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(795,121)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941,604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Subordinate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Voting Shares</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converted)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363,245,512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1,745,306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702,379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(17,823)</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364,343,003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1,747,319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(1,059,337)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686,570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Verano Holdings Corp. and Subsidiaries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Right-of-use assets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0" w:type="dxa"/>
            <w:vAlign w:val="bottom"/>
          </w:tcPr>
          <w:p>
            <w:pPr>
              <w:spacing w:after="0"/>
              <w:rPr>
                <w:sz w:val="1"/>
                <w:szCs w:val="1"/>
                <w:color w:val="auto"/>
              </w:rPr>
            </w:pPr>
          </w:p>
        </w:tc>
      </w:tr>
      <w:tr>
        <w:trPr>
          <w:trHeight w:val="224"/>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Gain on deconsolidation</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24"/>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0" w:type="dxa"/>
            <w:vAlign w:val="bottom"/>
          </w:tcPr>
          <w:p>
            <w:pPr>
              <w:spacing w:after="0"/>
              <w:rPr>
                <w:sz w:val="1"/>
                <w:szCs w:val="1"/>
                <w:color w:val="auto"/>
              </w:rPr>
            </w:pPr>
          </w:p>
        </w:tc>
      </w:tr>
      <w:tr>
        <w:trPr>
          <w:trHeight w:val="224"/>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Income tax receivable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liabilities,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deconsolidation</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0" w:type="dxa"/>
            <w:vAlign w:val="bottom"/>
          </w:tcPr>
          <w:p>
            <w:pPr>
              <w:spacing w:after="0"/>
              <w:rPr>
                <w:sz w:val="1"/>
                <w:szCs w:val="1"/>
                <w:color w:val="auto"/>
              </w:rPr>
            </w:pPr>
          </w:p>
        </w:tc>
      </w:tr>
      <w:tr>
        <w:trPr>
          <w:trHeight w:val="108"/>
        </w:trPr>
        <w:tc>
          <w:tcPr>
            <w:tcW w:w="8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on Credit Facility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acquisition price payable</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repayments of debt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 paid</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extinguishment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 holders</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108"/>
        </w:trPr>
        <w:tc>
          <w:tcPr>
            <w:tcW w:w="8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exchange rate fluctuations on cash and cash equivalents</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87,796</w:t>
            </w:r>
          </w:p>
        </w:tc>
        <w:tc>
          <w:tcPr>
            <w:tcW w:w="0" w:type="dxa"/>
            <w:vAlign w:val="bottom"/>
          </w:tcPr>
          <w:p>
            <w:pPr>
              <w:spacing w:after="0"/>
              <w:rPr>
                <w:sz w:val="1"/>
                <w:szCs w:val="1"/>
                <w:color w:val="auto"/>
              </w:rPr>
            </w:pPr>
          </w:p>
        </w:tc>
      </w:tr>
      <w:tr>
        <w:trPr>
          <w:trHeight w:val="25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84,220</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net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extinguishment in connection with deconsolidation</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97" w:right="339" w:bottom="0" w:gutter="0" w:footer="0" w:header="0"/>
          <w:type w:val="continuous"/>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7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received a conditional license, applied for licenses, or plans on applying for licenses, but does not currently operate or manage any operational cultivation, processing, or retail licenses.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par value $0.001 per share (“Common Stock”), is listed on Cboe Canada (“Cboe”) under the ticker symbol “VRNO” and is quoted in the United States on the OTCQX marketplace operated by the OTC Market Group, under the ticker symbol “VRNO”.</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2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and all references to “C$” refer to Canadian dollars. These Unaudited Interim Condensed Consolidated Financial Statements should be read in conjunction with the Company's audited consolidated financial statements and notes thereto as of and for the year ended December 31, 2025 (the “2025 Annual Audited Financials”), included in the Company’s Annual Report on Form 10-K filed with the SEC on March 12, 2026 (the “Form 10-K”). Certain prior year financial statement line items have been reclassified or aggregated to conform to the current year’s presentation. These changes did not affect previously reported results of operations or financial position.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months ended March 31, 2026 are not necessarily indicative of the results to be expected for the 2026 full year or any future periods. The accompanying consolidated balance sheet as of December 31, 2025 has been derived from the audited consolidated balance sheet as of December 31, 2025 contained in the 2025 Annual Audited Financials included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-5909310</wp:posOffset>
            </wp:positionV>
            <wp:extent cx="7003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include the accounts of the Company and its subsidiaries, as well as the accounts of any entities over which the Company has a controlling financial interest in accordance with ASC 810. All transactions and balances between these entities have been eliminated upon consolidation.</w:t>
      </w:r>
    </w:p>
    <w:p>
      <w:pPr>
        <w:spacing w:after="0" w:line="17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rFonts w:ascii="Times New Roman" w:cs="Times New Roman" w:eastAsia="Times New Roman" w:hAnsi="Times New Roman"/>
          <w:sz w:val="18"/>
          <w:szCs w:val="18"/>
          <w:b w:val="1"/>
          <w:bCs w:val="1"/>
          <w:color w:val="auto"/>
        </w:rPr>
      </w:pPr>
    </w:p>
    <w:p>
      <w:pPr>
        <w:ind w:left="6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have been no changes to the Company’s significant accounting policies as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to the 2025 Annual Audited Financials included in the Form 10-K.</w:t>
      </w:r>
    </w:p>
    <w:p>
      <w:pPr>
        <w:spacing w:after="0" w:line="15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stockholders by the weighted average number of shares of Common Stock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of Common Stock outstanding to assume conversion of all dilutive potential shares.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income (loss) per share for the three months ended March 31, 2026 and 2025 because their impact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-3703320</wp:posOffset>
            </wp:positionV>
            <wp:extent cx="7003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54"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Financial Accounting Standards Board issued Accounting Standards Update 2025-11, Interim Reporting (Topic 270): Narrow-Scope Improvements (“ASU 2025-11”) which amends the guidance in Topic 270, Interim Reporting. ASU 2025-11 improves the navigability of the required interim disclosures and clarifies when that guidance is applicable. ASU 2025-11 also provides additional guidance on what disclosures should be provided in interim reporting periods and adds a principle that requires entities to disclose events since the end of the last annual reporting period that have a material impact on the entity. ASU 2025-11 does not change the fundamental nature of interim reporting or expand or reduce current interim disclosure requirements. ASU 2025-11 is effective for interim reporting periods within annual reporting periods beginning after December 15, 2027, with early adoption permitted. While the Company is currently evaluating the impact of ASU 2025-11 on the consolidated financial statements, we do not expect it to have a material impact on our financial position or results of operations and we do not intend to early adopt.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Financial Accounting Standards Board issued Accounting Standards Update 2025-06, Intangibles - Goodwill and Other - Internal-Use Software (Subtopic 350-40): Targeted Improvements to the Accounting for Internal-Use Software (“ASU 2025-06”)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While the Company is currently evaluating the impact of ASU 2025-06 on the consolidated financial statements, we do not expect it to have a material impact on our financial position or results of operations and we do not intend to early adopt.</w:t>
      </w:r>
    </w:p>
    <w:p>
      <w:pPr>
        <w:spacing w:after="0" w:line="18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November 2024, the Financial Accounting Standards Board issued Accounting Standards Update 2024-03,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 </w:t>
      </w:r>
      <w:r>
        <w:rPr>
          <w:rFonts w:ascii="Times New Roman" w:cs="Times New Roman" w:eastAsia="Times New Roman" w:hAnsi="Times New Roman"/>
          <w:sz w:val="18"/>
          <w:szCs w:val="18"/>
          <w:color w:val="auto"/>
        </w:rPr>
        <w:t>(“ASU 2024-03”): Disaggregation of Income Statement Expenses (as clarified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-4247515</wp:posOffset>
            </wp:positionV>
            <wp:extent cx="70034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March 31, 2026 and December 31, 2025:</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162,197</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50,186</w:t>
            </w:r>
          </w:p>
        </w:tc>
      </w:tr>
      <w:tr>
        <w:trPr>
          <w:trHeight w:val="41"/>
        </w:trPr>
        <w:tc>
          <w:tcPr>
            <w:tcW w:w="6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0"/>
        </w:trPr>
        <w:tc>
          <w:tcPr>
            <w:tcW w:w="6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235,575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229,968</w:t>
            </w:r>
          </w:p>
        </w:tc>
      </w:tr>
      <w:tr>
        <w:trPr>
          <w:trHeight w:val="27"/>
        </w:trPr>
        <w:tc>
          <w:tcPr>
            <w:tcW w:w="6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97" w:right="10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as of March 31, 2026 and December 31, 2025:</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162,898</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29,294</w:t>
            </w:r>
          </w:p>
        </w:tc>
      </w:tr>
      <w:tr>
        <w:trPr>
          <w:trHeight w:val="41"/>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282,719</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99,635</w:t>
            </w:r>
          </w:p>
        </w:tc>
      </w:tr>
      <w:tr>
        <w:trPr>
          <w:trHeight w:val="40"/>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8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100,173</w:t>
            </w:r>
          </w:p>
        </w:tc>
      </w:tr>
      <w:tr>
        <w:trPr>
          <w:trHeight w:val="250"/>
        </w:trPr>
        <w:tc>
          <w:tcPr>
            <w:tcW w:w="6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726,683</w:t>
            </w:r>
          </w:p>
        </w:tc>
      </w:tr>
      <w:tr>
        <w:trPr>
          <w:trHeight w:val="41"/>
        </w:trPr>
        <w:tc>
          <w:tcPr>
            <w:tcW w:w="6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(234,210)</w:t>
            </w:r>
          </w:p>
        </w:tc>
      </w:tr>
      <w:tr>
        <w:trPr>
          <w:trHeight w:val="250"/>
        </w:trPr>
        <w:tc>
          <w:tcPr>
            <w:tcW w:w="66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800" w:hanging="144"/>
        <w:spacing w:after="0"/>
        <w:tabs>
          <w:tab w:leader="none" w:pos="8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2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depreciation expense included in costs of goods sold totaled $9,825 and $9,896, respectively. For the three months ended March 31, 2026 and March 31, 2025, depreciation expense included in selling, general, and administrative expense totaled $4,848 and $5,121,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reporting period,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intangible assets consisted of the following:</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1"/>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844,837</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6"/>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40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265,747</w:t>
            </w: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253,172</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579,090</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541,011</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564,575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March 31, 2026:</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84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57,875</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57,862</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40"/>
        </w:trPr>
        <w:tc>
          <w:tcPr>
            <w:tcW w:w="8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0" w:type="dxa"/>
            <w:vAlign w:val="bottom"/>
          </w:tcPr>
          <w:p>
            <w:pPr>
              <w:spacing w:after="0"/>
              <w:rPr>
                <w:sz w:val="1"/>
                <w:szCs w:val="1"/>
                <w:color w:val="auto"/>
              </w:rPr>
            </w:pPr>
          </w:p>
        </w:tc>
      </w:tr>
      <w:tr>
        <w:trPr>
          <w:trHeight w:val="243"/>
        </w:trPr>
        <w:tc>
          <w:tcPr>
            <w:tcW w:w="8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289,727</w:t>
            </w:r>
          </w:p>
        </w:tc>
        <w:tc>
          <w:tcPr>
            <w:tcW w:w="0" w:type="dxa"/>
            <w:vAlign w:val="bottom"/>
          </w:tcPr>
          <w:p>
            <w:pPr>
              <w:spacing w:after="0"/>
              <w:rPr>
                <w:sz w:val="1"/>
                <w:szCs w:val="1"/>
                <w:color w:val="auto"/>
              </w:rPr>
            </w:pPr>
          </w:p>
        </w:tc>
      </w:tr>
      <w:tr>
        <w:trPr>
          <w:trHeight w:val="40"/>
        </w:trPr>
        <w:tc>
          <w:tcPr>
            <w:tcW w:w="8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8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564,575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three months ended March 31, 2026 were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19"/>
                <w:szCs w:val="19"/>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16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60" w:type="dxa"/>
            <w:vAlign w:val="bottom"/>
          </w:tcPr>
          <w:p>
            <w:pPr>
              <w:spacing w:after="0"/>
              <w:rPr>
                <w:sz w:val="19"/>
                <w:szCs w:val="19"/>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Cultivation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stockholders by the weighted average number shares of Common Stock outstanding during the periods presented. Diluted earnings (losses) per share is computed based on the weighted average number of shares of Common Stock outstanding, to the extent dilutive.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 per share on a basic and diluted basis, including reconciliations of the numerators and denominators, for the three months ended March 31, 2026 and March 31, 2025 were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41"/>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Verano Holdings Corp.</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1"/>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363,366,348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359,145,607</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7"/>
        </w:trPr>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52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3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363,366,348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359,145,607</w:t>
            </w:r>
          </w:p>
        </w:tc>
      </w:tr>
      <w:tr>
        <w:trPr>
          <w:trHeight w:val="257"/>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outstanding restricted stock units (“RSUs”) of approximately 2,586,527 and 6,162,724, respectively, were anti-dilutive under the treasury stock method and were excluded from the computation of diluted earnings (loss) per share. These awards may be dilutive in the future.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described below are business combinations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Unaudited Interim Condensed Consolidated Financial Statements from the date of the acquisition. Any goodwill recognized is attributed based on reporting units.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2025 Dispositions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Noah's Ark, LLC</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the Company's subsidiary, Verano El Dorado, LLC, an Arkansas limited liability company, sold real property located at 3213 N. West Avenue, El Dorado, Union County, Arkansas 71730. As a result of such transactions, Verano no longer has any commercial agreements or affiliated operational activity related to Arkansas.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three months ended March 31, 2025 which is classified as a component of Other Income (Expense), net in the Unaudited Interim Condensed Consolidated Statement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the Company’s formerly outstanding Class A subordinate voting shares (the “Subordinate Voting Shares”), in the aggregate, as consideration for the acquisition of certain assets from Ivy Hall Mount Holly, LLC. During 2025, the Company made total cash payments in the amount of $708 and issued 297,225 Subordinate Voting Shares, representing a value of $625. All Subordinate Voting Shares were exchanged for shares of Common Stock on a one-for-one basis in connection with the Continuance. During the three months ended March 31, 2026 the Company made total cash payments in the amount of $125 related to the purchase price consideration. The Company expects to make additional cash consideration payments in the amount of $167, as the final portion of such consideration.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debt consisted of the following:</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3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40"/>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114,099</w:t>
            </w: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r>
      <w:tr>
        <w:trPr>
          <w:trHeight w:val="40"/>
        </w:trPr>
        <w:tc>
          <w:tcPr>
            <w:tcW w:w="67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6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394,946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399,735</w:t>
            </w:r>
          </w:p>
        </w:tc>
      </w:tr>
      <w:tr>
        <w:trPr>
          <w:trHeight w:val="40"/>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7"/>
        </w:trPr>
        <w:tc>
          <w:tcPr>
            <w:tcW w:w="6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40"/>
        </w:trPr>
        <w:tc>
          <w:tcPr>
            <w:tcW w:w="67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6"/>
        </w:trPr>
        <w:tc>
          <w:tcPr>
            <w:tcW w:w="6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384,245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391,883</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Beginning in October 2023, the loan required scheduled amortization payments of $350 per month and the remaining principal balance was due in full on October 30, 2026.</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were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an additional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11, 2026, the Company repaid all amounts owing under the 2022 Credit Agreement together with a prepayment premium of $4,345. As a result of such payment, the Credit Agreement was then terminated and is no longer in force or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(as amended, the “Revolver”), by and among the Company, as a guarantor, certain subsidiaries of the Company from time-to-time party thereto as borrowers (the “Real Estate Subsidiaries”), lenders from time-to-time party thereto, and Chicago Atlantic, as administrative agent for the Lenders.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shall be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80% of the appraised value, net of certain indebtedness, of the owned real estate serving as collateral after giving effect to such release.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March 31, 2026, the Company was in compliance with such covenants.</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January 12, 2026, the Company entered into a First Amendment to Credit Agreement and Omnibus First Amendment to Credit Documents (the “First Amendment”), to amend the Revolver. 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the amounts owing under the 2022 Credit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2026 Credit Agreement</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as discussed above.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9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March 31, 2026, the Company was in compliance with such covenants.</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November 3, 2025, the Company filed articles of domestication and articles of incorporation with the Secretary of State of the State of Nevada to continue out from the jurisdiction of the Province of British Columbia, Canada, to the jurisdiction of the U.S. State of Nevada. The Continuance was consummated pursuant to a Plan of Arrangement, which was approved by the Company’s stockholders at a special meeting of the stockholders held on October 27, 2025, and a Final Order issued by the Supreme Court of British Columbia, Canada on October 30, 2025. As part of the Continuance, the previously authorized, issued and outstanding Subordinate Voting Shares of the Company were deemed to be exchanged on the November 3, 2025 for authorized, issued and outstanding shares of Common Stock, par value $0.001 per share, of the Company on a one-for-one basis. The Company’s Class B proportionate voting shares (the “Proportionate Voting Shares”) were no longer authorized, and all special rights and restrictions of the Proportionate Voting Shares were removed from the Company’s governing documents.</w:t>
      </w:r>
    </w:p>
    <w:p>
      <w:pPr>
        <w:spacing w:after="0" w:line="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Company’s Common Stock is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Company had 364,343,003 shares of Common Stock issued and outstanding and no preferred stock (“Preferred Stock”)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issued or outstanding. The Company has the following two classes of stock, with each class having a $0.001 par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Common Stock</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stockholders of Common Stock are entitled to receive dividends issued by the Company and one vote per share at stockholder meetings of the Company. All Common Stock are ranked equally regarding the Company’s residual assets. The Company is authorized to issue 5,000,000,000 shares of Common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Preferred Stock</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Company currently does not have any Preferred Stock issued or outstanding. Our board of directors may, without further action by our stockholders, provide, out of the authorized but undesignated and unissued shares of preferred stock, for one or more series of preferred stock and, with respect to each such series, fix the number of shares constituting such series and the designation of such series, the voting powers (if any) of the shares of such series, and the powers, preferences and relative, participating, optional or other rights, if any, and any qualifications, limitations or restrictions thereof, of the shares of such series, any or all of which may be greater than the rights of our common stock. The Company is authorized to issue 1,000,000,000 shares of Preferred Stock.</w:t>
      </w:r>
    </w:p>
    <w:p>
      <w:pPr>
        <w:spacing w:after="0" w:line="18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connection with the Continuance, each outstanding option to purchase Subordinate Voting Shares was deemed to be adjusted to become one outstanding option to purchase an equal number of shares of Common Stock at the same exercise price per share and otherwise on the same terms and conditions under the Plan and applicable award agreement; and each outstanding RSU to receive Subordinate Voting Shares was deemed to be adjusted to become one outstanding RSU to receive an equal number of shares of Common Stock with the same terms and conditions under the Plan and applicable award agreement.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and RSU grants generally vest in installments over 12 to 36 months and options typically have a life of ten years.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Option activity is summarized as follows: The Company had 23,588 fully vested and exercisable options, entitling the holder thereof to one Common Stock per each option upon exercise, with a weighted average exercise price of C$29.96 and a weighted average remaining contractual life of 4.92 years as of March 31, 2026.</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fully vested options, entitling the holder thereof to one Common Stock per each option upon exercise, were cancelled during the three months ended March 31, 2026. No options were granted or forfeited during the three months ended March 31, 2026. As of March 31, 2026 and December 31, 2025, there were no in-the-money options.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March 31, 2026 and December 31, 2025 and the changes during the three months ended March 31, 2026:</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r>
      <w:tr>
        <w:trPr>
          <w:trHeight w:val="230"/>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52"/>
        </w:trPr>
        <w:tc>
          <w:tcPr>
            <w:tcW w:w="6980" w:type="dxa"/>
            <w:vAlign w:val="bottom"/>
          </w:tcPr>
          <w:p>
            <w:pPr>
              <w:spacing w:after="0"/>
              <w:rPr>
                <w:sz w:val="21"/>
                <w:szCs w:val="2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2,807,468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966,590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40"/>
        </w:trPr>
        <w:tc>
          <w:tcPr>
            <w:tcW w:w="6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1,180,692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March 31,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2,586,527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40"/>
        </w:trPr>
        <w:tc>
          <w:tcPr>
            <w:tcW w:w="6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three months ended March 31, 2026 and 2025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Pr>
          <w:p>
            <w:pPr>
              <w:spacing w:after="0"/>
              <w:rPr>
                <w:sz w:val="20"/>
                <w:szCs w:val="20"/>
                <w:color w:val="auto"/>
              </w:rPr>
            </w:pPr>
          </w:p>
        </w:tc>
      </w:tr>
      <w:tr>
        <w:trPr>
          <w:trHeight w:val="40"/>
        </w:trPr>
        <w:tc>
          <w:tcPr>
            <w:tcW w:w="57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36"/>
        </w:trPr>
        <w:tc>
          <w:tcPr>
            <w:tcW w:w="57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r>
      <w:tr>
        <w:trPr>
          <w:trHeight w:val="41"/>
        </w:trPr>
        <w:tc>
          <w:tcPr>
            <w:tcW w:w="57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3,303</w:t>
            </w:r>
          </w:p>
        </w:tc>
      </w:tr>
      <w:tr>
        <w:trPr>
          <w:trHeight w:val="41"/>
        </w:trPr>
        <w:tc>
          <w:tcPr>
            <w:tcW w:w="57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9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 Based Compensation Expense</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months ended March 31, 2026 and 2025:</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432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40"/>
        </w:trPr>
        <w:tc>
          <w:tcPr>
            <w:tcW w:w="55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5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0"/>
        </w:trPr>
        <w:tc>
          <w:tcPr>
            <w:tcW w:w="55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5,834</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(17,349)</w:t>
            </w:r>
          </w:p>
        </w:tc>
      </w:tr>
      <w:tr>
        <w:trPr>
          <w:trHeight w:val="40"/>
        </w:trPr>
        <w:tc>
          <w:tcPr>
            <w:tcW w:w="5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40"/>
        </w:trPr>
        <w:tc>
          <w:tcPr>
            <w:tcW w:w="55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effective tax rates for the three months ended March 31, 2026 and 2025 were based on the Company’s forecasted annualized effective tax rates and were adjusted for discrete items that occurred within the periods presented. Net discrete tax items of $12,483 and $9,065 were recorded during the three months ended March 31, 2026 and 2025, respectively. Discrete items recorded during the three months ended March 31, 2026 and 2025 primarily relate to penalties and interest on unpaid tax liabilities and remeasurement of deferred taxes for state tax rate changes.</w:t>
      </w:r>
    </w:p>
    <w:p>
      <w:pPr>
        <w:spacing w:after="0" w:line="180"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U.S. Internal Revenue Service has taken the position that cannabis companies are subject to the limits of Section 280E of the Internal Revenue Code of 1986, as amended (“Section 280E”) for U.S. federal income tax purposes, under which, they are only allowed to deduct expenses directly related to costs of goods sold. The Company has taken a position that its deduction of ordinary and necessary business expenses is not limited by Section 280E.</w:t>
      </w:r>
    </w:p>
    <w:p>
      <w:pPr>
        <w:spacing w:after="0" w:line="180"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an uncertain tax liability in uncertain tax positions (“UTP”) on the Condensed Consolidated Balance Sheets for tax positions taken based on legal interpretations that challenge the Company's tax liability under Section 280E. Refer for </w:t>
      </w:r>
      <w:r>
        <w:rPr>
          <w:rFonts w:ascii="Times New Roman" w:cs="Times New Roman" w:eastAsia="Times New Roman" w:hAnsi="Times New Roman"/>
          <w:sz w:val="18"/>
          <w:szCs w:val="18"/>
          <w:i w:val="1"/>
          <w:iCs w:val="1"/>
          <w:color w:val="auto"/>
        </w:rPr>
        <w:t>Note 17 -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Events </w:t>
      </w:r>
      <w:r>
        <w:rPr>
          <w:rFonts w:ascii="Times New Roman" w:cs="Times New Roman" w:eastAsia="Times New Roman" w:hAnsi="Times New Roman"/>
          <w:sz w:val="18"/>
          <w:szCs w:val="18"/>
          <w:color w:val="auto"/>
        </w:rPr>
        <w:t>for further discussion.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Company’s income taxes paid, net of refunds, were as follows: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tcPr>
          <w:p>
            <w:pPr>
              <w:spacing w:after="0"/>
              <w:rPr>
                <w:sz w:val="19"/>
                <w:szCs w:val="19"/>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7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40"/>
        </w:trPr>
        <w:tc>
          <w:tcPr>
            <w:tcW w:w="7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84"/>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83"/>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Arkansas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83"/>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 Virginia</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0"/>
        </w:trPr>
        <w:tc>
          <w:tcPr>
            <w:tcW w:w="73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7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State</w:t>
            </w:r>
          </w:p>
        </w:tc>
        <w:tc>
          <w:tcPr>
            <w:tcW w:w="3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7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Taxes Paid, net of Refunds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7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Income taxes paid, net of refunds exceeds 5% of total income taxes paid, net of refunds, in this jurisdiction.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Taxes paid during the three months ended March 31, 2025 were $32,485.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2040. Some leases also contain renewal provisions and provide for rent abatement and escalating payments.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approximately $5,649 and $5,692 in operating lease expense, respectively, of which $273 and $317 was included in cost of goods sold for the same periods,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periods ended March 31, 2026 and December 31, 2025,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40"/>
        </w:trPr>
        <w:tc>
          <w:tcPr>
            <w:tcW w:w="39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3680" w:type="dxa"/>
            <w:vAlign w:val="bottom"/>
            <w:tcBorders>
              <w:bottom w:val="single" w:sz="8" w:color="CCEEFF"/>
            </w:tcBorders>
            <w:gridSpan w:val="4"/>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567"/>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March 31, 2026 were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86"/>
        </w:trPr>
        <w:tc>
          <w:tcPr>
            <w:tcW w:w="390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4"/>
                <w:szCs w:val="24"/>
                <w:color w:val="auto"/>
              </w:rPr>
            </w:pPr>
          </w:p>
        </w:tc>
        <w:tc>
          <w:tcPr>
            <w:tcW w:w="28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40"/>
        </w:trPr>
        <w:tc>
          <w:tcPr>
            <w:tcW w:w="3900" w:type="dxa"/>
            <w:vAlign w:val="bottom"/>
            <w:tcBorders>
              <w:bottom w:val="single" w:sz="8" w:color="CCEEFF"/>
            </w:tcBorders>
          </w:tcPr>
          <w:p>
            <w:pPr>
              <w:spacing w:after="0"/>
              <w:rPr>
                <w:sz w:val="3"/>
                <w:szCs w:val="3"/>
                <w:color w:val="auto"/>
              </w:rPr>
            </w:pPr>
          </w:p>
        </w:tc>
        <w:tc>
          <w:tcPr>
            <w:tcW w:w="30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w:t>
            </w:r>
          </w:p>
        </w:tc>
      </w:tr>
      <w:tr>
        <w:trPr>
          <w:trHeight w:val="243"/>
        </w:trPr>
        <w:tc>
          <w:tcPr>
            <w:tcW w:w="3900" w:type="dxa"/>
            <w:vAlign w:val="bottom"/>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r>
      <w:tr>
        <w:trPr>
          <w:trHeight w:val="40"/>
        </w:trPr>
        <w:tc>
          <w:tcPr>
            <w:tcW w:w="3900" w:type="dxa"/>
            <w:vAlign w:val="bottom"/>
          </w:tcPr>
          <w:p>
            <w:pPr>
              <w:spacing w:after="0"/>
              <w:rPr>
                <w:sz w:val="3"/>
                <w:szCs w:val="3"/>
                <w:color w:val="auto"/>
              </w:rPr>
            </w:pPr>
          </w:p>
        </w:tc>
        <w:tc>
          <w:tcPr>
            <w:tcW w:w="3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390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w:t>
            </w:r>
          </w:p>
        </w:tc>
      </w:tr>
      <w:tr>
        <w:trPr>
          <w:trHeight w:val="243"/>
        </w:trPr>
        <w:tc>
          <w:tcPr>
            <w:tcW w:w="3900" w:type="dxa"/>
            <w:vAlign w:val="bottom"/>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w:t>
            </w:r>
          </w:p>
        </w:tc>
      </w:tr>
      <w:tr>
        <w:trPr>
          <w:trHeight w:val="40"/>
        </w:trPr>
        <w:tc>
          <w:tcPr>
            <w:tcW w:w="3900" w:type="dxa"/>
            <w:vAlign w:val="bottom"/>
          </w:tcPr>
          <w:p>
            <w:pPr>
              <w:spacing w:after="0"/>
              <w:rPr>
                <w:sz w:val="3"/>
                <w:szCs w:val="3"/>
                <w:color w:val="auto"/>
              </w:rPr>
            </w:pPr>
          </w:p>
        </w:tc>
        <w:tc>
          <w:tcPr>
            <w:tcW w:w="3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390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18,943</w:t>
            </w:r>
          </w:p>
        </w:tc>
      </w:tr>
      <w:tr>
        <w:trPr>
          <w:trHeight w:val="243"/>
        </w:trPr>
        <w:tc>
          <w:tcPr>
            <w:tcW w:w="3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51,644</w:t>
            </w:r>
          </w:p>
        </w:tc>
      </w:tr>
      <w:tr>
        <w:trPr>
          <w:trHeight w:val="40"/>
        </w:trPr>
        <w:tc>
          <w:tcPr>
            <w:tcW w:w="3900" w:type="dxa"/>
            <w:vAlign w:val="bottom"/>
            <w:tcBorders>
              <w:bottom w:val="single" w:sz="8" w:color="CCEEFF"/>
            </w:tcBorders>
          </w:tcPr>
          <w:p>
            <w:pPr>
              <w:spacing w:after="0"/>
              <w:rPr>
                <w:sz w:val="3"/>
                <w:szCs w:val="3"/>
                <w:color w:val="auto"/>
              </w:rPr>
            </w:pPr>
          </w:p>
        </w:tc>
        <w:tc>
          <w:tcPr>
            <w:tcW w:w="30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3900" w:type="dxa"/>
            <w:vAlign w:val="bottom"/>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149,859</w:t>
            </w:r>
          </w:p>
        </w:tc>
      </w:tr>
      <w:tr>
        <w:trPr>
          <w:trHeight w:val="40"/>
        </w:trPr>
        <w:tc>
          <w:tcPr>
            <w:tcW w:w="3900" w:type="dxa"/>
            <w:vAlign w:val="bottom"/>
          </w:tcPr>
          <w:p>
            <w:pPr>
              <w:spacing w:after="0"/>
              <w:rPr>
                <w:sz w:val="3"/>
                <w:szCs w:val="3"/>
                <w:color w:val="auto"/>
              </w:rPr>
            </w:pPr>
          </w:p>
        </w:tc>
        <w:tc>
          <w:tcPr>
            <w:tcW w:w="3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70"/>
        </w:trPr>
        <w:tc>
          <w:tcPr>
            <w:tcW w:w="3900" w:type="dxa"/>
            <w:vAlign w:val="bottom"/>
            <w:shd w:val="clear" w:color="auto" w:fill="CCEEFF"/>
          </w:tcPr>
          <w:p>
            <w:pPr>
              <w:spacing w:after="0"/>
              <w:rPr>
                <w:sz w:val="23"/>
                <w:szCs w:val="23"/>
                <w:color w:val="auto"/>
              </w:rPr>
            </w:pPr>
          </w:p>
        </w:tc>
        <w:tc>
          <w:tcPr>
            <w:tcW w:w="300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r>
      <w:tr>
        <w:trPr>
          <w:trHeight w:val="243"/>
        </w:trPr>
        <w:tc>
          <w:tcPr>
            <w:tcW w:w="3900" w:type="dxa"/>
            <w:vAlign w:val="bottom"/>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r>
      <w:tr>
        <w:trPr>
          <w:trHeight w:val="40"/>
        </w:trPr>
        <w:tc>
          <w:tcPr>
            <w:tcW w:w="3900" w:type="dxa"/>
            <w:vAlign w:val="bottom"/>
            <w:tcBorders>
              <w:bottom w:val="single" w:sz="8" w:color="CCEEFF"/>
            </w:tcBorders>
          </w:tcPr>
          <w:p>
            <w:pPr>
              <w:spacing w:after="0"/>
              <w:rPr>
                <w:sz w:val="3"/>
                <w:szCs w:val="3"/>
                <w:color w:val="auto"/>
              </w:rPr>
            </w:pPr>
          </w:p>
        </w:tc>
        <w:tc>
          <w:tcPr>
            <w:tcW w:w="30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spacing w:after="0"/>
              <w:rPr>
                <w:sz w:val="21"/>
                <w:szCs w:val="21"/>
                <w:color w:val="auto"/>
              </w:rPr>
            </w:pPr>
          </w:p>
        </w:tc>
      </w:tr>
      <w:tr>
        <w:trPr>
          <w:trHeight w:val="270"/>
        </w:trPr>
        <w:tc>
          <w:tcPr>
            <w:tcW w:w="3900" w:type="dxa"/>
            <w:vAlign w:val="bottom"/>
          </w:tcPr>
          <w:p>
            <w:pPr>
              <w:spacing w:after="0"/>
              <w:rPr>
                <w:sz w:val="23"/>
                <w:szCs w:val="23"/>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Present Value of Lease Liability</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101,408</w:t>
            </w:r>
          </w:p>
        </w:tc>
      </w:tr>
      <w:tr>
        <w:trPr>
          <w:trHeight w:val="27"/>
        </w:trPr>
        <w:tc>
          <w:tcPr>
            <w:tcW w:w="3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OTHER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March 31, 2026,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 The Company accrues loss contingencies in accordance with ASC 450, Contingencies, if, in the opinion of management and its legal counsel, the risk of loss is probable and the amount can be reasonably estimated.</w:t>
      </w:r>
    </w:p>
    <w:p>
      <w:pPr>
        <w:spacing w:after="0" w:line="18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subject to recently enacted exceptions as detailed below,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eight states allow the use of low tetrahydrocannabinol and high cannabidiol products for specified medical uses. Verano operates within states where cannabis use, medical or both medical and adult use, has been approved by state and local regulatory bodies.</w:t>
      </w:r>
    </w:p>
    <w:p>
      <w:pPr>
        <w:spacing w:after="0" w:line="221"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18, 2025, President Trump issued an executive order titled “Increasing Medical Marijuana and Cannabidiol Research,” (the “Executive Order”) which directs federal agencies to expedite the process of rescheduling cannabis from a Schedule I to a Schedule III controlled substance under the Controlled Substances Act (21 U.S.C. § 811) (the “CSA”). The Executive Order would not legalize state sanctioned medical cultivation, manufacturing, distribution, sale or possession of medical or adult use cannabis in the U.S. However, it would lessen criminal penalties at the federal level and remove Section 280E tax considerations. The final effects of the Executive Order are dependent on other government actions. Despite such actions and the ongoing rule making process, there can be no guarantees that the rescheduling rule making process will continue on a certain timeline or at all under this administration or that any rules will come out of the rule making process that will benefit the Company. The Executive Order, and agency implementation of the Executive Order does not federally legalize adult use and would not federally authorize or approve state sanctioned medical programs. Cannabis would still be subject to the same Food and Drug Administration (“FDA”) drug approval process as all other substances, and sales outside of FDA approval, would still be criminal at the federal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-4827905</wp:posOffset>
            </wp:positionV>
            <wp:extent cx="7003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the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assets are aggregated into reportable segments (cultivation (wholesale) and retail). The Company determined its reportable segments by first reviewing the operating segments based on the geographic areas in which the Company conducts business (or each market). The markets were then further divided into reporting units based on the market operations (cultivation (wholesale) and retail) which were primarily determined based on the licenses each market holds. All revenues are derived from customers domiciled in the United States and substantially all assets are located in the United States.</w:t>
      </w:r>
    </w:p>
    <w:p>
      <w:pPr>
        <w:spacing w:after="0" w:line="1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accounting policies used in the segment reporting are the same as those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within the 2025 Annual Audited Financials on Form 10-K. The Company’s chief operating decision maker (the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tables below. Additionally, we do not allocate certain shared expenses such as accounting, human resources, certain information technology and legal to our reportable segments. We include these expenses in “All Other” in the tables below. The “All Other” column in the tables below also includes unallocated corporate functions and expenses. Certain prior year line items have been adjusted and our allocation methodology is periodically evaluated and may change.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86"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63"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for the three months ended March 31, 2026 and 2025, consisted of the following:</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10"/>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r>
      <w:tr>
        <w:trPr>
          <w:trHeight w:val="41"/>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(42,794)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208,178</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43,407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(109,202)</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(28,325)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(27,712)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49,004</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10"/>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r>
      <w:tr>
        <w:trPr>
          <w:trHeight w:val="40"/>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79,561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(52,608)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37,609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(110,228)</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9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(31,649)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40,215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(32,599)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54,398</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programs’ obligation is relieved, and the offset is recorded as revenue. The Company estimates that up to 20% of points will not be redeemed (breakage) prior to their six-month expiration dates. The Company continues to evaluate breakage and redemption values to determine the standalone selling price.</w:t>
      </w:r>
    </w:p>
    <w:p>
      <w:pPr>
        <w:spacing w:after="0" w:line="19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As of March 31, 2026, there were approximately 160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$5,548. As of December 31, 2025, there were approximately 228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$7,513. Such balances are included in Accrued Liabilities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627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6" w:lineRule="exact"/>
        <w:rPr>
          <w:sz w:val="20"/>
          <w:szCs w:val="20"/>
          <w:color w:val="auto"/>
        </w:rPr>
      </w:pPr>
    </w:p>
    <w:p>
      <w:pPr>
        <w:ind w:left="120" w:hanging="94"/>
        <w:spacing w:after="0"/>
        <w:tabs>
          <w:tab w:leader="none" w:pos="1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March 31, 2026 and December 31, 2025.</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41"/>
        </w:trPr>
        <w:tc>
          <w:tcPr>
            <w:tcW w:w="6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r>
      <w:tr>
        <w:trPr>
          <w:trHeight w:val="40"/>
        </w:trPr>
        <w:tc>
          <w:tcPr>
            <w:tcW w:w="6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41,301</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40"/>
        </w:trPr>
        <w:tc>
          <w:tcPr>
            <w:tcW w:w="6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6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bl>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management services agreement, consulting agreement, licensing agreement, or combination thereof (each a “Management Services Agreement”). Generally, the Management Services Agreement grants the management company, Verano, the ability to make business operating decisions, manage and staff employees, determine product mix, and the authority to direct allocation of cash. Generally, the Management Services Agreement or the limited liability company agreement also allows Verano to limit distributions of the entity at Verano’s discretion. Certain states may limit the distribution or transfer of cash until license transfer.</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 Management Services Agreement with the legal entity that grants the Company strategic decision-making ability of the business operations.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Management Services Agreement, resulting in Verano being the primary beneficiary.</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Unaudited Interim Condensed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certificates of deposit, accounts receivable, accounts payable, accrued liabilities, debt, and acquisition consideration payable.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March 31, 2026 and December 31, 2025 was $394,946 and $399,735, respectively, which included $10,701 and $7,852, respectively, of short-term debt due within one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7"/>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40"/>
        </w:trPr>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74,026</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27"/>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41"/>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2026 Credit Agreement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$46 during the three months ended March 31, 2026 and $46 during the three months ended March 31, 2025, which payments consist of base rent, real estate taxes and customary tenant charges. George Archos, the Company’s Chief Executive Officer and President, holds an indirect 50% ownership interest in 740. Pursuant to the lease agreement, the initial term expires on June 30, 2030.</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$94 during the three months ended March 31, 2026 and $92 during the three months ended March 31, 2025, which payments consist of base rent, real estate taxes and customary tenant charges. George Archos, the Company’s Chief Executive Officer and President, holds a 50% indirect ownership interest in 783. Pursuant to the lease agreement, the initial term expires on January 11, 2031.</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$1,103 during the three months ended March 31, 2026 and $775 during the three months ended March 31, 2025. GP Management Group, LLC, an entity beneficially owned and controlled by George Archos, the Company's Chief Executive Officer and President, held an ownership interest of less than 1% in Sweed as of March 31,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John Tipton Consulting Agreement</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March 16, 2026, John Tipton retired from his position as President of the Southern Region of the Company, and from all his positions as an officer, manager and employee of the Company and its subsidiaries. Mr. Tipton will remain a member of the Company’s Board of Directors. Upon his retirement, the Company entered into a consulting agreement with Mr. Tipton as of March 16, 2026 (the “Consulting Agreement”), pursuant to which Mr. Tipton provides consulting and advisory services to the Company and its subsidiaries with respect to the Company’s operations nationally and in the State of Florida. The term of the Consulting Agreement will expire on March 16, 2027, which may be extended by mutual agreement of the Company and Mr. Tipton. The Consulting Agreement contains customary representations, warranties, covenants and confidentiality provisions. As an inducement and consideration for Mr. Tipton entering into the Consulting Agreement and in recognition of his future services under the Consulting Agreement, Mr. Tipton received 909,090 RSUs under the Plan, which RSUs vested into an equal number of shares of Common Stock. Mr. Tipton received a cash payment of $100 and is entitled to $35 per month during the term of the Consulting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Federal Rescheduling of Medical Cannabis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April 23, 2026, the Acting Attorney General signed a Final Order reclassifying medical cannabis from Schedule I to Schedule III under the CSA. This action, taken pursuant to the Attorney General’s Authority under the CSA to schedule substances in compliance with the Single Convention on Narcotic Drugs, 1961, applies only to medical cannabis; adult-use cannabis remains classified as Schedule I. The Final Order, effective as of the date of publication in the Federal Register,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to begin on June 29, 2026. This expedited hearing will address all forms of cannabis, medical and adult use. The IRS, in a press release, has indicated that, for Section 280E purposes, rescheduling will generally apply to the full taxable year that includes the effective date of the Final Order, for activities no longer involving Schedule I or II substances. However, formal guidance from the IRS remains pending. The ultimate impact of this order, including the resolution of accrued UTPs, remains uncertain and is subject to ongoing evaluation due to the complexity of the regulatory and tax environment. Accordingly, as required by ASC 855-10-50-2, the Company continues to assess the financial statement impact and is unable to reasonably estimate the effect at this time.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18"/>
          <w:szCs w:val="18"/>
          <w:color w:val="auto"/>
        </w:rPr>
        <w:t>On April 28, 2026, the Company's Board of Directors authorized the repurchase of up to 5% or 18,219,090 of the Company’s issued and outstanding Common Stock over a 12 month period, provided, that in no event will the Company repurchase Common Stock, in the aggregate, in excess of $20,000. The repurchases may be made from time to time over a period of 12 months ending April 30, 2027, unless such share or dollar limit is met sooner.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 discussion and analysis (this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i w:val="1"/>
          <w:iCs w:val="1"/>
          <w:color w:val="auto"/>
        </w:rPr>
        <w:t>”) of the financial condition and results of operations of the Company is for the three months ended March 31, 2026 and March 31, 2025. It is supplemental to, and should be read in conjunction with, the Company’s Unaudited Interim Condensed Consolidated Financial Statements and the accompanying notes for the three months ended March 31, 2026 and with the Company’s Audited Consolidated Financial Statements and the accompanying notes for the years ended December 31, 2025 and 2024 included in the Form 10-K. The financial statements referenced in this MD&amp;A are prepared in accordance with GAAP. Financial information presented in this MD&amp;A is presented in United States dollars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See “Cautionary Statement Regarding Forward-Looking Statements” above, “Risk Factors” in Part II, Item 1A below and “Risk Factors” in the Form 10-K.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Verano Holdings Corp., a Nevada corporation (“Verano,” the “Company,” “we,” “us,” or “our”), one of the U.S. cannabis industry’s leading companies based on historical revenue, geographical scope and brand performance, is a vertically integrated, multi-state operator embracing a mission of saying Yes to plant progress and the bold exploration of cannabis. As an operator of licensed cannabis cultivation, processing, wholesale distribution and retail facilities, our goal is to support communal wellness by providing responsible access to regulated medical and adult use cannabis products. As of April 28, 2026, through our subsidiaries and affiliates we operate businesses in 13 states, including 162 retail dispensaries and 14 cultivation and processing facilities with over 1.1 million square feet of cultivation capacity. We produce a wide variety of cannabis products sold under our portfolio of consumer brands, including Encore™, Avexia™, MÜV™, Savvy™, (the) Essence™, BITS™, HYPHEN™, Swift Lifts™ and Verano™. We also design, build and operate branded dispensaries operating under the Zen Leaf™ and MÜV™ retail banners, among others, that deliver a cannabis shopping experience in both medical and adult use markets.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8 states allow the use of low tetrahydrocannabinol and high cannabidiol products for specified medical uses. Verano operates within states where cannabis use, medical or both medical and adult use, has been approved by state and local regulatory bodies.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18, 2025, President Trump issued an executive order titled “Increasing Medical Marijuana and Cannabidiol Research,” (the “Executive Order”) which directs federal agencies to expedite the process of rescheduling cannabis from a Schedule I to a Schedule III controlled substance under the Controlled Substances Act (21 U.S.C. § 811) (the “CSA”). On April 23, 2026, the Justice Department in accordance with the Executive Order issued a final order (the “Final Order”) implementing a rule that places FDA approved products containing cannabis and products regulated by state medical marijuana licenses in Schedule III. The Justice Department also initiated an expedited administrative hearing process (the “Hearing Process”) to consider the broader rescheduling of cannabis to Schedule III. The Final Order creates a pathway for state licensed medical operators to legally cultivate, manufacture, and dispense medical only products, and could also remove 280E tax considerations from the medical aspect of Verano’s operations. Until the issuance of an order by the administrative law judge following the conclusion of the Hearing Process, adult use or recreational cannabis remains a Schedule I drug, subject to 280E tax constraints. Issuance of an order rescheduling all cannabis to Schedule III is not guaranteed. Verano remains subject to federal laws, including those prohibiting recreational cannabis, during the pendency of the hearing and following the outcome. The final effects of the Executive Order and Final Order are dependent on other government actions. Despite such actions and the ongoing Hearing Process, there can be no guarantees that the Hearing Process will continue on a certain timeline or at all or that any rules will come out of the Hearing Process that will benefit the Company. The Executive Order and Final Order do not federally legalize recreational adult use, and rescheduling of cannabis in full to Schedule III would not legalize adult use or recreational cannabis, but could remove the 280E constraints for the full range of Verano’s operations.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business, operating results and financial condition relate to U.S. cannabis-related activities. Our strategy is to vertically integrate as a single cohesive company in multiple states through the consolidation of seed-to-sale cultivating, manufacturing, distributing, and dispensing of cannabis brands and products at scale. Our cultivation, processing and distribution of cannabis consumer packaged goods are designed to support our retail dispensaries, as well as to develop and foster long term wholesale supply relationships with third-party retail operators. Our model includes establishing a diverse geographic footprint that allows us to adapt to changes in both industry and market conditions.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presents selected financial data derived from the (i) Unaudited Interim Condensed Consolidated Financial Statements for the three months ended March 31, 2026 and 2025 and (ii) the Condensed Consolidated Balance Sheets as of March 31, 2026 and December 31, 2025,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as Compared to Three Months Ended March 31, 2025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41"/>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6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40"/>
        </w:trPr>
        <w:tc>
          <w:tcPr>
            <w:tcW w:w="6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Revenues, net of discounts, for the three months ended March 31, 2026 was $208,178, a decrease of $(1,631) or (0.8)%, compared to revenues, net of discounts, of $209,809 for the three months ended March 31, 2025. The decrease in revenues, net of discounts for the three months ended March 31, 2026 was primarily driven by continued increased competition and promotional activity in the third party wholesale markets. </w:t>
      </w:r>
      <w:r>
        <w:rPr>
          <w:rFonts w:ascii="Times New Roman" w:cs="Times New Roman" w:eastAsia="Times New Roman" w:hAnsi="Times New Roman"/>
          <w:sz w:val="18"/>
          <w:szCs w:val="18"/>
          <w:color w:val="242424"/>
        </w:rPr>
        <w:t>This is partially offset by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increase in revenues, net of discounts in the retail markets driven by successful new product launches and operational efficiencies</w:t>
      </w:r>
      <w:r>
        <w:rPr>
          <w:rFonts w:ascii="Times New Roman" w:cs="Times New Roman" w:eastAsia="Times New Roman" w:hAnsi="Times New Roman"/>
          <w:sz w:val="18"/>
          <w:szCs w:val="18"/>
          <w:color w:val="000000"/>
        </w:rPr>
        <w:t>. During the three months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ended March 31, 2026, the Company opened two new stores in Florida. Retail revenues, net of discounts, for the three months ended March 31, 2026 was approximately 68.6% of total revenue compared to 68.0% of total revenue for the three months ended March 31, 2025, excluding intersegment eliminations. Cultivation (wholesale) revenues, net of discounts, made up 31.4% of revenues, net of discounts, for the three months ended March 31, 2026, as compared to 32.0% of total revenue for the three months ended March 31, 2025, excluding intersegment eliminations. Refer to “</w:t>
      </w:r>
      <w:r>
        <w:rPr>
          <w:rFonts w:ascii="Times New Roman" w:cs="Times New Roman" w:eastAsia="Times New Roman" w:hAnsi="Times New Roman"/>
          <w:sz w:val="18"/>
          <w:szCs w:val="18"/>
          <w:i w:val="1"/>
          <w:iCs w:val="1"/>
          <w:color w:val="000000"/>
        </w:rPr>
        <w:t>Results of Operations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Segment</w:t>
      </w:r>
      <w:r>
        <w:rPr>
          <w:rFonts w:ascii="Times New Roman" w:cs="Times New Roman" w:eastAsia="Times New Roman" w:hAnsi="Times New Roman"/>
          <w:sz w:val="18"/>
          <w:szCs w:val="18"/>
          <w:color w:val="000000"/>
        </w:rPr>
        <w:t>” for further discussion of our retail revenue and cultivation (wholesale) revenues, net of discounts.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2026 was $98,976, representing a gross profit margin of 47.5%. This is compared to gross profit for the three months ended March 31, 2025 of $99,581, which represented a gross profit margin of 47.5%. The slight decrease in gross profit during the three months ended March 31, 2026 compared to the three months ended March 31, 2025, was primarily driven by overall revenue decline.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March 31, 2026 was $(17,823), an increase in net loss of $6,308, compared to a net loss of $(11,515) for the three months ended March 31, 2025. The increase in net loss was largely driven by a loss on debt extinguishment related to the 2022 Credit Agreement for the three months ended March 31, 2026 when compared to the three months ended March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4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41"/>
        </w:trPr>
        <w:tc>
          <w:tcPr>
            <w:tcW w:w="66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product sales and includes amounts paid for finished goods, such as flower, edibles, and concentrates, as well as packaging and other supplies, fees for services and processing, rent, utilities, and related costs. Cost of goods sold, net for the three months ended March 31, 2026 was $109,202, a decrease of $(1,026) or (0.9)%, as compared to the three months ended March 31, 2025. The decrease was primarily the result of continued competition in key markets, which led to a reduction in overall revenues, net of discounts.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for the three months ended March 31, 2026 were $85,877, an increase of $1,298 or 1.5%, compared to SG&amp;A expenses of $84,579 for the three months ended March 31, 2025. SG&amp;A expenses as a percentage of revenue was 41.3% and 40.3% for the three months ended March 31, 2026, and March 31, 2025, respectively. The increase was driven primarily by additional general and administrative costs associated with new stores when comparing the three months ended March 31, 2026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net for the three months ended March 31, 2026, was $19,299, an increase of $10,131 as compared to $9,168 for the three months ended March 31, 2025. The other expense increase was primarily due to a loss on debt extinguishment related to the 2022 Credit Agreement obligations during the three months ended March 31, 2026. Additionally, the year-over-year variance is driven by a gain on deconsolidation relating to our Arkansas operations during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three months ended March 31, 2026, was $11,623 as compared to $17,349 for the three months ended March 31, 2025, a decrease of $5,726 or (33.0)% primarily due to the forecasted annualized effective tax rates, adjusted for discrete items when compared to the three months ended March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three months ended March 31, 2026 and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50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of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78,832</w:t>
            </w:r>
          </w:p>
        </w:tc>
        <w:tc>
          <w:tcPr>
            <w:tcW w:w="8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41"/>
        </w:trPr>
        <w:tc>
          <w:tcPr>
            <w:tcW w:w="5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40"/>
        </w:trPr>
        <w:tc>
          <w:tcPr>
            <w:tcW w:w="50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209,809</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net of discounts, for the cultivation (wholesale) segment were $78,832 for the three months ended March 31, 2026, a decrease of $(729) or (0.9)%, compared to the three months ended March 31, 2025, in each case, excluding intersegment eliminations. During the three months ended March 31, 2026, cultivation (wholesale) revenues, net of discounts in the Illinois and New Jersey markets were the largest contributors. The decrease in cultivation (wholesale) revenues, net of discounts, was primarily driven by continued increased competition and promotional activity in the third party wholesale markets </w:t>
      </w:r>
      <w:r>
        <w:rPr>
          <w:rFonts w:ascii="Times New Roman" w:cs="Times New Roman" w:eastAsia="Times New Roman" w:hAnsi="Times New Roman"/>
          <w:sz w:val="18"/>
          <w:szCs w:val="18"/>
          <w:color w:val="242424"/>
        </w:rPr>
        <w:t>when comparing the three months ended</w:t>
      </w:r>
      <w:r>
        <w:rPr>
          <w:rFonts w:ascii="Times New Roman" w:cs="Times New Roman" w:eastAsia="Times New Roman" w:hAnsi="Times New Roman"/>
          <w:sz w:val="18"/>
          <w:szCs w:val="18"/>
          <w:color w:val="auto"/>
        </w:rPr>
        <w:t xml:space="preserve"> March 31, 2026 </w:t>
      </w:r>
      <w:r>
        <w:rPr>
          <w:rFonts w:ascii="Times New Roman" w:cs="Times New Roman" w:eastAsia="Times New Roman" w:hAnsi="Times New Roman"/>
          <w:sz w:val="18"/>
          <w:szCs w:val="18"/>
          <w:color w:val="242424"/>
        </w:rPr>
        <w:t>to the three months ended</w:t>
      </w:r>
      <w:r>
        <w:rPr>
          <w:rFonts w:ascii="Times New Roman" w:cs="Times New Roman" w:eastAsia="Times New Roman" w:hAnsi="Times New Roman"/>
          <w:sz w:val="18"/>
          <w:szCs w:val="18"/>
          <w:color w:val="auto"/>
        </w:rPr>
        <w:t xml:space="preserve"> March 31, 2025</w:t>
      </w:r>
      <w:r>
        <w:rPr>
          <w:rFonts w:ascii="Times New Roman" w:cs="Times New Roman" w:eastAsia="Times New Roman" w:hAnsi="Times New Roman"/>
          <w:sz w:val="18"/>
          <w:szCs w:val="18"/>
          <w:color w:val="242424"/>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net of discounts for the retail segment were $172,140 for the three months ended March 31, 2026, an increase of $3,333 or 2.0%, compared to the three months ended March 31, 2025, in each case, excluding intersegment eliminations. During the three months ended March 31, 2026, retail revenues, net of discounts, in the Florida market was the largest contributor to overall revenues, net of discounts in the retail segment, excluding intersegment eliminations. The increase in retail revenues, net of discounts, was primarily </w:t>
      </w:r>
      <w:r>
        <w:rPr>
          <w:rFonts w:ascii="Times New Roman" w:cs="Times New Roman" w:eastAsia="Times New Roman" w:hAnsi="Times New Roman"/>
          <w:sz w:val="18"/>
          <w:szCs w:val="18"/>
          <w:color w:val="242424"/>
        </w:rPr>
        <w:t>driven by successful new product launches and operational efficiencies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comparing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42424"/>
        </w:rPr>
        <w:t xml:space="preserve"> to the three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42424"/>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March 31, 2026, approximately 31.4% of the Company’s revenue was generated from the cultivation (wholesale) business, excluding intersegment eliminations, and approximately 68.6% from the retail business, excluding intersegment eliminations. For the three months ended March 31, 2025, approximately 32.0% of revenue was generated from the cultivation (wholesale) business, excluding intersegment eliminations, and approximately 68.0% from the retail business, excluding intersegment eliminations.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strategy and revenue growth have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has experienced pressure on margins within the cultivation (wholesale) and retail segments and expects this to continue.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continue to increase slightly in currently operational markets as facility and market expansion occurs. The increase is expected to continue to be driven primarily by the growth of the Company’s retail and cultivation (wholesale) segments and new retail openings.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also include personnel costs incurred, including salaries, incentive compensation, benefits, stock-based compensation and professional service costs. SG&amp;A expenses may increase in connection with supporting the business and the Company could experience an increase in expenses related to recruiting and hiring talent, along with legal and professional fees associated with being a public-reporting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Company had total current liabilities of $118,911 and $140,261, respectively. As of March 31, 2026 and December 31, 2025, the Company had cash and cash equivalents of $74,026 and $82,724, respectively, to meet its current obligations. The Company had working capital of $275,610 as of March 31, 2026, an increase of working capital of $11,220 as compared to December 31, 2025. This increase in working capital was primarily driven by a reduction in current liabilities, especially accounts payable and accrued liabilities, which offset a modest decrease in current assets. Positive operating cash flow and increased management of payables and accruals contributed to this improvement during the three months ended March 31,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facility improvements, strategic investment opportunities, and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and available cash balances.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and which also provided the Borrowers with the right, subject to conditions, to request an additional incremental term loan of up to $100,000; provided that the Lenders elected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October 2023, the loan required scheduled amortization payments of $350 per month and the remaining principal balance was due in full on October 30, 2026.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provided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were subject to customary conditions.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were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provided for a floating annual interest rate equal to the prime rate then in effect plus 6.50%, which rate could have been increased by 3.00% upon an event of default that is not a material event of default or 6.00% upon a material event of default as provided in the 2022 Credit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Company was able to voluntarily prepay up to $100,000 of the principal balance, subject to a one-time $1,000 prepayment premium upon the first prepayment, and was able to prepay the remaining outstanding principal balance for a prepayment premium at varying rates based on the timing of any subsequent prepayments. The Borrowers were not able to voluntarily prepay more than $100,000 of the principal balance without prepaying the entire outstanding principal balance of the loan.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an additional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2026, the Company repaid all amounts owing under the 2022 Credit Agreement together with a prepayment premium of $4,345. As a result of such payment, the Credit Agreement was then terminated and is no longer in force or effect.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(as amended, the “Revolver”), by and among the Company, as a guarantor, certain subsidiaries of the Company from time-to-time party thereto as borrowers (the “Real Estate Subsidiaries”), lenders from time-to-time party thereto, and Chicago Atlantic, as administrative agent for the lenders.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initially provided for a $75,000 revolving loan facility, $50,000 of which was drawn on September 30, 2025 and used to prepay, without any penalty or premium, $50,000 of outstanding obligations due under the 2022 Credit Agreement. Amounts drawn under the Revolver do not require amortization payments.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shall be subject to a six-month interest make whole. Any amounts prepaid may be redrawn subject to the same requirements set forth above. The Revolver was initially subject to a borrowing base which required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consists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80% of the appraised value, net of certain indebtedness, of the owned real estate serving as collateral after giving effect to such release.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 The Revolver also includes customary covenants, including, without limitation, limiting the Real Estate Subsidiaries’ ability to incur additional indebtedness, make guarantees and grant liens that are otherwise not permitted and enter into or consummate acquisitions or dispositions that are not otherwise permitted, among others. As of March 31, 2026, the Company was in compliance with such covenants.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12, 2026, the Company entered into a First Amendment to Credit Agreement and Omnibus First Amendment to Credit Documents (the “First Amendment”), to amend the Revolver.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Amendment increased the lending commitment of the Revolver from $75,000 to $100,000 and amended the date on which all outstanding amounts are due in full from September 29, 2028 to February 28, 2029. Additionally, the First Amendment amended the borrowing base for the Revolver to an advance rate of up to 80%, rather than 60%, of the appraised value, net of certain indebtedness, of the owned real estate serving as collateral for the Revolver. The First Amendment also includes certain other immaterial updates to the Revolver. No additional collateral was pledged to secure the Revolver in connection with the First Amendment. On March 11, 2026, the Company drew $50,000 under the Revolver, bringing the total amount drawn under the Revolver to $100,000, which was used to repay the amounts owing under the 2022 Credit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Credit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11, 2026, Verano and certain of its subsidiaries and affiliates from time-to-time party thereto (collectively, the “2026 Borrowers”), entered into a credit agreement (the “2026 Credit Agreement”) with Needham Bank (“Needham”), as collateral agent and administrative agent for the lenders, Chicago Atlantic Financial Services, LLC, as co-administrative agent for the lenders, and the lenders from time-to-time party thereto (the “2026 Lenders”), pursuant to which the 2026 Lenders advanced the 2026 Borrowers a $195,000 senior secured term loan, all of which was used to repay the amounts owing under the 2022 Credit Agreement as discussed above. The Company is required to make scheduled amortization payments of $875 per month and the remaining principal balance is due in full on March 11, 2029; provided that the maturity date may be extended to March 11, 2030 upon the election of the Company, the payment of 1.5% of the then outstanding principal balance by the Company, and the consent of the 2026 Lenders. The 2026 Credit Agreement may be prepaid in part (in increments of $5,000 and in an amount not less than $10,000) or in full at any time, subject to a 1.5% prepayment premium during the first two years of the 2026 Credit Agreement and 0% thereafter; provided, that if the maturity date is extended to March 11, 2030, the prepayment premium will be 1.5% in all cases.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2026 Credit Agreement are secured by substantially all of the assets of the 2026 Borrowers, excluding vehicles, specified parcels of real estate, other customary exclusions, and subject to compliance with the terms of the 2026 Credit Agreement, entities, assets and parcels of real estate acquired after the closing of the 2026 Credit Agreement. The 2026 Credit Agreement provides for a floating annual interest rate equal to one-month Term SOFR (subject to a minimum 4% SOFR floor) plus 5.5%, which rate may be increased by 5% upon an event of default as provided in the 2026 Credit Agreement. The 2026 Credit Agreement includes customary representations and warranties, covenants and customary events of default, including, without limitation, payment defaults, breaches of representations and warranties, covenant defaults, cross-defaults to material indebtedness, and events of bankruptcy and insolvency. Additionally, the 2026 Credit Agreement requires the Borrowers to meet certain financial tests regarding minimum cash balances and a minimum fixed charge coverage ratio. As of March 31, 2026, the Company was in compliance with such covenants.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Chief Executive Officer and President of the Company, funded, through an affiliated entity, $10,000 of the amount provided by a 2026 Lender. As a result of this participation, Mr. Archos will receive his pro rata share of all interest and principal payments made by the Company to such 2026 Lender under the 2026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as not applying to limit its deduction of ordinary and necessary business expenses.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23, 2026, the Acting Attorney General signed a Final Order reclassifying medical cannabis from Schedule I to Schedule III under the CSA. This action, taken pursuant to the Attorney General’s Authority under the CSA to schedule substances in compliance with the Single Convention on Narcotic Drugs, 1961, applies only to medical cannabis; adult-use cannabis remains classified as Schedule I. The Final Order, effective as of the date of publication in the Federal Register, provides an expedited registration process for state medical licensees and specifically states that registered state medical licensees will no longer be subject to the constraints of Section 280E. Separately, the Attorney General filed notices withdrawing the pending hearing on the proposed rulemaking notice filed in 2024, and instituted a new hearing on the proposed rule to begin on June 29, 2026. This expedited hearing will address all forms of cannabis, medical and adult use. The IRS, in a press release, has indicated that, for Section 280E purposes, rescheduling will generally apply to the full taxable year that includes the effective date of the Final Order, for activities no longer involving Schedule I or II substances. However, formal guidance from the IRS remains pending. The ultimate impact of this order, including the resolution of accrued UTPs, remains uncertain and is subject to ongoing evaluation due to the complexity of the regulatory and tax environment. The Company continues to assess the financial statement impact and is unable to reasonably estimate the effect at this time.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 Investing and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2026 and 2025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060" w:type="dxa"/>
            <w:vAlign w:val="bottom"/>
          </w:tcPr>
          <w:p>
            <w:pPr>
              <w:spacing w:after="0"/>
              <w:rPr>
                <w:sz w:val="20"/>
                <w:szCs w:val="20"/>
                <w:color w:val="auto"/>
              </w:rPr>
            </w:pPr>
          </w:p>
        </w:tc>
      </w:tr>
      <w:tr>
        <w:trPr>
          <w:trHeight w:val="41"/>
        </w:trPr>
        <w:tc>
          <w:tcPr>
            <w:tcW w:w="59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6"/>
        </w:trPr>
        <w:tc>
          <w:tcPr>
            <w:tcW w:w="59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41"/>
        </w:trPr>
        <w:tc>
          <w:tcPr>
            <w:tcW w:w="59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18,587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16,801</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21"/>
                <w:szCs w:val="21"/>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w:t>
            </w:r>
          </w:p>
        </w:tc>
      </w:tr>
      <w:tr>
        <w:trPr>
          <w:trHeight w:val="40"/>
        </w:trPr>
        <w:tc>
          <w:tcPr>
            <w:tcW w:w="5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(12,378)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41"/>
        </w:trPr>
        <w:tc>
          <w:tcPr>
            <w:tcW w:w="59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source of liquidity. Our cash flows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result from cash received from our customers, offset by cash payments we make for products and services, operational costs, and income taxes. During the three months ended March 31, 2026 and 2025, the Company had net cash inflows of $18,587 and $1,786, respectively. The $16,801 increase was largely driven by the change in the income tax payable balance on the Condensed Consolidated Balance Sheets of $(812) during the three months ended March 31, 2026, compared to $(19,903) during the three months ended March 31,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three months ended March 31, 2026 and 2025, the Company had net cash outflows of $14,907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$4,771, respectively. The $10,136 increase in net cash outflows during the three months ended March 31, 2026 compared to the three months ended March 31, 2025 was largely driven by $9,071 of net cash inflows from the Noah's Ark deconsolidation during the three months ended March 31, 2025. Additionally, purchases of property, plant and equipment were $14,937 during the three months ended March 31, 2026, compared to purchases of property, plant and equipment of $13,864 during the three months ended March 31,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three months ended March 31, 2026 and 2025, the Company had net cash outflows of $12,378 and $591,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$11,787 increase in net cash outflows was largely driven by the debt issuance costs paid related to the 2026 Credit Agreement and the First Amendment of $11,337, coupled with the payments of debt extinguishment of $4,345 related to the 2022 Credit Agreement when comparing the three months ended March 31, 2026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of recently issued accounting standards under Part I, Item 1, Notes to Unaudited Interim Condensed Consolidated Financial Statements, </w:t>
      </w:r>
      <w:r>
        <w:rPr>
          <w:rFonts w:ascii="Times New Roman" w:cs="Times New Roman" w:eastAsia="Times New Roman" w:hAnsi="Times New Roman"/>
          <w:sz w:val="18"/>
          <w:szCs w:val="18"/>
          <w:i w:val="1"/>
          <w:iCs w:val="1"/>
          <w:color w:val="auto"/>
        </w:rPr>
        <w:t>Note 1 - Overview and Basis of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the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under the Exchange Act, our management, including our Chief Executive Officer (who is our principal executive officer) and Chief Financial Officer (who is our principal financial officer), evaluated, as of March 31, 2026,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claims, investigations and government inquiries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Please see the Notes to the Unaudited Interim Condensed Consolidated Financial Statements, </w:t>
      </w:r>
      <w:r>
        <w:rPr>
          <w:rFonts w:ascii="Times New Roman" w:cs="Times New Roman" w:eastAsia="Times New Roman" w:hAnsi="Times New Roman"/>
          <w:sz w:val="18"/>
          <w:szCs w:val="18"/>
          <w:i w:val="1"/>
          <w:iCs w:val="1"/>
          <w:color w:val="auto"/>
        </w:rPr>
        <w:t>Note 11 – Contingencies and Other – Claims and Litigation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Form 10-K includes a discussion of our risk factors. There have been no material changes from the risk factors described in the Form 10-K. We may disclose changes to such risk factors or disclose additional risk factors from time to time in our future SEC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which have not been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quarter ended March 31, 2026, none of our directors or officers have adopted or terminated a “Rule 10b5-1 trading arrangement” or “non-Rule 10b5-1 trading arrangement,” as those terms are defined in Regulation S-K, Item 408(a).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0"/>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9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Articles of Domestication, dated November 3, 2025 (filed as Exhibit 3.1 to our Current Report on Form 8-K12G3 filed on November 4,</w:t>
              </w:r>
            </w:hyperlink>
          </w:p>
        </w:tc>
        <w:tc>
          <w:tcPr>
            <w:tcW w:w="2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2025 (File No. 000-56342) and incorporated herein by reference).</w:t>
              </w:r>
            </w:hyperlink>
          </w:p>
        </w:tc>
        <w:tc>
          <w:tcPr>
            <w:tcW w:w="5180" w:type="dxa"/>
            <w:vAlign w:val="bottom"/>
            <w:gridSpan w:val="11"/>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Articles of Incorporation of Verano Holdings Corp., a Nevada corporation, dated November 3, 2025 (filed as Exhibit 3.2 to our Current</w:t>
              </w:r>
            </w:hyperlink>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Report on Form 8-K12G3 filed on November 4, 2025 (File No. 000-56342) and incorporated herein by reference).</w:t>
              </w:r>
            </w:hyperlink>
          </w:p>
        </w:tc>
        <w:tc>
          <w:tcPr>
            <w:tcW w:w="1640" w:type="dxa"/>
            <w:vAlign w:val="bottom"/>
            <w:tcBorders>
              <w:top w:val="single" w:sz="8" w:color="0000FF"/>
            </w:tcBorders>
            <w:gridSpan w:val="5"/>
          </w:tcPr>
          <w:p>
            <w:pPr>
              <w:spacing w:after="0"/>
              <w:rPr>
                <w:sz w:val="18"/>
                <w:szCs w:val="18"/>
                <w:color w:val="auto"/>
              </w:rPr>
            </w:pPr>
          </w:p>
        </w:tc>
        <w:tc>
          <w:tcPr>
            <w:tcW w:w="40" w:type="dxa"/>
            <w:vAlign w:val="bottom"/>
            <w:gridSpan w:val="2"/>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Bylaws of Verano Holdings Corp., a Nevada corporation, dated November 3, 2025 (filed as Exhibit 3.3 to our Current Report on Form 8-</w:t>
              </w:r>
            </w:hyperlink>
          </w:p>
        </w:tc>
        <w:tc>
          <w:tcPr>
            <w:tcW w:w="2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K12G3 filed on November 4, 2025 (File No. 000-56342) and incorporated herein by reference).</w:t>
              </w:r>
            </w:hyperlink>
          </w:p>
        </w:tc>
        <w:tc>
          <w:tcPr>
            <w:tcW w:w="3020" w:type="dxa"/>
            <w:vAlign w:val="bottom"/>
            <w:gridSpan w:val="10"/>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First Amendment to Credit Agreement and Omnibus First Amendment to Credit Documents, dated January 12, 2026, by and among</w:t>
              </w:r>
            </w:hyperlink>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Verano Holdings Corp., certain subsidiaries of Verano Holdings Corp. from time-to-time party thereto, certain lenders from time-to-time</w:t>
              </w:r>
            </w:hyperlink>
          </w:p>
        </w:tc>
        <w:tc>
          <w:tcPr>
            <w:tcW w:w="2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party thereto, and Chicago Atlantic Admin, LLC, as administrative agent for the lenders (filed as Exhibit 10.1 to our Current Report on</w:t>
              </w:r>
            </w:hyperlink>
          </w:p>
        </w:tc>
        <w:tc>
          <w:tcPr>
            <w:tcW w:w="20" w:type="dxa"/>
            <w:vAlign w:val="bottom"/>
          </w:tcPr>
          <w:p>
            <w:pPr>
              <w:spacing w:after="0"/>
              <w:rPr>
                <w:sz w:val="17"/>
                <w:szCs w:val="17"/>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8-K filed on January 15, 2026 (File No. 000-56342) and incorporated herein by reference).</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Credit Agreement, dated March 11, 2026, by and among Verano Holdings Corp., certain subsidiaries of Verano Holdings Corp. from</w:t>
              </w:r>
            </w:hyperlink>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time to time thereto, Needham Bank, as Administrative Agent, Chicago Atlantic Financial Services, LLC, as Co-Administrative Agent,</w:t>
              </w:r>
            </w:hyperlink>
          </w:p>
        </w:tc>
        <w:tc>
          <w:tcPr>
            <w:tcW w:w="2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and the lenders from time-to-time party thereto (filed as Exhibit 10.24 to our Annual Report on Form 10-K filed on March 12, 2026 (File</w:t>
              </w:r>
            </w:hyperlink>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No. 000-56342) and incorporated herein by reference).</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Verano Holdings Corp. Annual Bonus Plan (filed as Exhibit 10.11 to our Annual Report on Form 10-K filed on March 12, 2026 (File No.</w:t>
              </w:r>
            </w:hyperlink>
          </w:p>
        </w:tc>
        <w:tc>
          <w:tcPr>
            <w:tcW w:w="2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000-56342) and incorporated herein by reference).</w:t>
              </w:r>
            </w:hyperlink>
          </w:p>
        </w:tc>
        <w:tc>
          <w:tcPr>
            <w:tcW w:w="6280" w:type="dxa"/>
            <w:vAlign w:val="bottom"/>
            <w:gridSpan w:val="13"/>
          </w:tcPr>
          <w:p>
            <w:pPr>
              <w:spacing w:after="0"/>
              <w:rPr>
                <w:sz w:val="18"/>
                <w:szCs w:val="18"/>
                <w:color w:val="auto"/>
              </w:rPr>
            </w:pPr>
          </w:p>
        </w:tc>
      </w:tr>
      <w:tr>
        <w:trPr>
          <w:trHeight w:val="41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Consulting Agreement dated March 16, 2026 between Verano Holdings Corp. and John Tipton (filed as Exhibit 10.1 to our Current</w:t>
              </w:r>
            </w:hyperlink>
          </w:p>
        </w:tc>
        <w:tc>
          <w:tcPr>
            <w:tcW w:w="20" w:type="dxa"/>
            <w:vAlign w:val="bottom"/>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Report on Form 8-K filed on March 18, 2026 (File No. 000-56342) and incorporated herein by reference).</w:t>
              </w:r>
            </w:hyperlink>
          </w:p>
        </w:tc>
        <w:tc>
          <w:tcPr>
            <w:tcW w:w="2280" w:type="dxa"/>
            <w:vAlign w:val="bottom"/>
            <w:gridSpan w:val="8"/>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Exchange Act of 1934, as</w:t>
            </w:r>
          </w:p>
        </w:tc>
        <w:tc>
          <w:tcPr>
            <w:tcW w:w="500" w:type="dxa"/>
            <w:vAlign w:val="bottom"/>
            <w:gridSpan w:val="5"/>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15"/>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8660" w:type="dxa"/>
            <w:vAlign w:val="bottom"/>
            <w:tcBorders>
              <w:top w:val="single" w:sz="8" w:color="0000FF"/>
            </w:tcBorders>
            <w:gridSpan w:val="9"/>
          </w:tcPr>
          <w:p>
            <w:pPr>
              <w:spacing w:after="0"/>
              <w:rPr>
                <w:sz w:val="18"/>
                <w:szCs w:val="18"/>
                <w:color w:val="auto"/>
              </w:rPr>
            </w:pPr>
          </w:p>
        </w:tc>
        <w:tc>
          <w:tcPr>
            <w:tcW w:w="560" w:type="dxa"/>
            <w:vAlign w:val="bottom"/>
            <w:gridSpan w:val="6"/>
          </w:tcPr>
          <w:p>
            <w:pPr>
              <w:spacing w:after="0"/>
              <w:rPr>
                <w:sz w:val="18"/>
                <w:szCs w:val="18"/>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120" w:type="dxa"/>
            <w:vAlign w:val="bottom"/>
            <w:gridSpan w:val="3"/>
          </w:tcPr>
          <w:p>
            <w:pPr>
              <w:spacing w:after="0"/>
              <w:rPr>
                <w:sz w:val="24"/>
                <w:szCs w:val="24"/>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840" w:type="dxa"/>
            <w:vAlign w:val="bottom"/>
            <w:gridSpan w:val="1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4"/>
          </w:tcPr>
          <w:p>
            <w:pPr>
              <w:spacing w:after="0"/>
              <w:rPr>
                <w:sz w:val="18"/>
                <w:szCs w:val="18"/>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r>
      <w:tr>
        <w:trPr>
          <w:trHeight w:val="507"/>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9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9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200" w:lineRule="exact"/>
        <w:rPr>
          <w:sz w:val="20"/>
          <w:szCs w:val="20"/>
          <w:color w:val="auto"/>
        </w:rPr>
      </w:pPr>
    </w:p>
    <w:p>
      <w:pPr>
        <w:sectPr>
          <w:pgSz w:w="11900" w:h="16838" w:orient="portrait"/>
          <w:cols w:equalWidth="0" w:num="1">
            <w:col w:w="11040"/>
          </w:cols>
          <w:pgMar w:left="320" w:top="29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9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92" w:lineRule="exact"/>
        <w:rPr>
          <w:sz w:val="20"/>
          <w:szCs w:val="20"/>
          <w:color w:val="auto"/>
        </w:rPr>
      </w:pPr>
    </w:p>
    <w:p>
      <w:pPr>
        <w:jc w:val="both"/>
        <w:ind w:left="80" w:right="8599" w:firstLine="9"/>
        <w:spacing w:after="0" w:line="480" w:lineRule="auto"/>
        <w:tabs>
          <w:tab w:leader="none" w:pos="35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spacing w:after="0" w:line="1" w:lineRule="exact"/>
        <w:rPr>
          <w:rFonts w:ascii="Times New Roman" w:cs="Times New Roman" w:eastAsia="Times New Roman" w:hAnsi="Times New Roman"/>
          <w:sz w:val="17"/>
          <w:szCs w:val="17"/>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2026</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35"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Archos</w:t>
            </w:r>
          </w:p>
        </w:tc>
      </w:tr>
      <w:tr>
        <w:trPr>
          <w:trHeight w:val="41"/>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9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41"/>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94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54" w:name="page55"/>
    <w:bookmarkEnd w:id="5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months ended March 31, 2026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55" w:name="page56"/>
    <w:bookmarkEnd w:id="55"/>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months ended March 31, 2026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lvl w:ilvl="1">
      <w:lvlJc w:val="left"/>
      <w:lvlText w:val="(%2)"/>
      <w:numFmt w:val="lowerLetter"/>
      <w:start w:val="1"/>
    </w:lvl>
  </w:abstractNum>
  <w:abstractNum w:abstractNumId="7">
    <w:nsid w:val="431BD7B7"/>
    <w:multiLevelType w:val="hybridMultilevel"/>
    <w:lvl w:ilvl="0">
      <w:lvlJc w:val="left"/>
      <w:lvlText w:val="%1."/>
      <w:numFmt w:val="decimal"/>
      <w:start w:val="1"/>
    </w:lvl>
    <w:lvl w:ilvl="1">
      <w:lvlJc w:val="left"/>
      <w:lvlText w:val="(%2)"/>
      <w:numFmt w:val="lowerLetter"/>
      <w:start w:val="3"/>
    </w:lvl>
  </w:abstractNum>
  <w:abstractNum w:abstractNumId="8">
    <w:nsid w:val="3F2DBA31"/>
    <w:multiLevelType w:val="hybridMultilevel"/>
    <w:lvl w:ilvl="0">
      <w:lvlJc w:val="left"/>
      <w:lvlText w:val="%1."/>
      <w:numFmt w:val="decimal"/>
      <w:start w:val="1"/>
    </w:lvl>
    <w:lvl w:ilvl="1">
      <w:lvlJc w:val="left"/>
      <w:lvlText w:val="(%2)"/>
      <w:numFmt w:val="lowerLetter"/>
      <w:start w:val="6"/>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decimal"/>
      <w:start w:val="5"/>
    </w:lvl>
  </w:abstractNum>
  <w:abstractNum w:abstractNumId="14">
    <w:nsid w:val="333AB105"/>
    <w:multiLevelType w:val="hybridMultilevel"/>
    <w:lvl w:ilvl="0">
      <w:lvlJc w:val="left"/>
      <w:lvlText w:val="%1."/>
      <w:numFmt w:val="decimal"/>
      <w:start w:val="6"/>
    </w:lvl>
  </w:abstractNum>
  <w:abstractNum w:abstractNumId="15">
    <w:nsid w:val="721DA317"/>
    <w:multiLevelType w:val="hybridMultilevel"/>
    <w:lvl w:ilvl="0">
      <w:lvlJc w:val="left"/>
      <w:lvlText w:val="%1."/>
      <w:numFmt w:val="decimal"/>
      <w:start w:val="7"/>
    </w:lvl>
  </w:abstractNum>
  <w:abstractNum w:abstractNumId="16">
    <w:nsid w:val="2443A858"/>
    <w:multiLevelType w:val="hybridMultilevel"/>
    <w:lvl w:ilvl="0">
      <w:lvlJc w:val="left"/>
      <w:lvlText w:val="%1."/>
      <w:numFmt w:val="decimal"/>
      <w:start w:val="7"/>
    </w:lvl>
  </w:abstractNum>
  <w:abstractNum w:abstractNumId="17">
    <w:nsid w:val="2D1D5AE9"/>
    <w:multiLevelType w:val="hybridMultilevel"/>
    <w:lvl w:ilvl="0">
      <w:lvlJc w:val="left"/>
      <w:lvlText w:val="%1."/>
      <w:numFmt w:val="decimal"/>
      <w:start w:val="7"/>
    </w:lvl>
  </w:abstractNum>
  <w:abstractNum w:abstractNumId="18">
    <w:nsid w:val="6763845E"/>
    <w:multiLevelType w:val="hybridMultilevel"/>
    <w:lvl w:ilvl="0">
      <w:lvlJc w:val="left"/>
      <w:lvlText w:val="%1."/>
      <w:numFmt w:val="decimal"/>
      <w:start w:val="8"/>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decimal"/>
      <w:start w:val="8"/>
    </w:lvl>
  </w:abstractNum>
  <w:abstractNum w:abstractNumId="21">
    <w:nsid w:val="79838CB2"/>
    <w:multiLevelType w:val="hybridMultilevel"/>
    <w:lvl w:ilvl="0">
      <w:lvlJc w:val="left"/>
      <w:lvlText w:val="%1."/>
      <w:numFmt w:val="decimal"/>
      <w:start w:val="9"/>
    </w:lvl>
  </w:abstractNum>
  <w:abstractNum w:abstractNumId="22">
    <w:nsid w:val="4353D0CD"/>
    <w:multiLevelType w:val="hybridMultilevel"/>
    <w:lvl w:ilvl="0">
      <w:lvlJc w:val="left"/>
      <w:lvlText w:val="%1."/>
      <w:numFmt w:val="decimal"/>
      <w:start w:val="11"/>
    </w:lvl>
    <w:lvl w:ilvl="1">
      <w:lvlJc w:val="left"/>
      <w:lvlText w:val="(%2)"/>
      <w:numFmt w:val="lowerLetter"/>
      <w:start w:val="1"/>
    </w:lvl>
  </w:abstractNum>
  <w:abstractNum w:abstractNumId="23">
    <w:nsid w:val="B03E0C6"/>
    <w:multiLevelType w:val="hybridMultilevel"/>
    <w:lvl w:ilvl="0">
      <w:lvlJc w:val="left"/>
      <w:lvlText w:val="%1."/>
      <w:numFmt w:val="decimal"/>
      <w:start w:val="12"/>
    </w:lvl>
  </w:abstractNum>
  <w:abstractNum w:abstractNumId="24">
    <w:nsid w:val="189A769B"/>
    <w:multiLevelType w:val="hybridMultilevel"/>
    <w:lvl w:ilvl="0">
      <w:lvlJc w:val="left"/>
      <w:lvlText w:val="1"/>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85" Type="http://schemas.openxmlformats.org/officeDocument/2006/relationships/hyperlink" Target="https://www.sec.gov/Archives/edgar/data/1848416/000149315225020684/ex3-1.htm" TargetMode="External"/><Relationship Id="rId86" Type="http://schemas.openxmlformats.org/officeDocument/2006/relationships/hyperlink" Target="https://www.sec.gov/Archives/edgar/data/1848416/000149315225020684/ex3-2.htm" TargetMode="External"/><Relationship Id="rId87" Type="http://schemas.openxmlformats.org/officeDocument/2006/relationships/hyperlink" Target="https://www.sec.gov/Archives/edgar/data/1848416/000149315225020684/ex3-3.htm" TargetMode="External"/><Relationship Id="rId88" Type="http://schemas.openxmlformats.org/officeDocument/2006/relationships/hyperlink" Target="https://www.sec.gov/Archives/edgar/data/1848416/000162828026002111/firstamendmentto2025credit.htm" TargetMode="External"/><Relationship Id="rId89" Type="http://schemas.openxmlformats.org/officeDocument/2006/relationships/hyperlink" Target="https://www.sec.gov/Archives/edgar/data/1848416/000162828026017011/veranocredit_agreement.htm" TargetMode="External"/><Relationship Id="rId90" Type="http://schemas.openxmlformats.org/officeDocument/2006/relationships/hyperlink" Target="https://www.sec.gov/Archives/edgar/data/1848416/000162828026017011/veranoannualbonusplan.htm" TargetMode="External"/><Relationship Id="rId91" Type="http://schemas.openxmlformats.org/officeDocument/2006/relationships/hyperlink" Target="https://www.sec.gov/Archives/edgar/data/1848416/00014931522601122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2026-04-30T06:15:06Z</dcterms:created>
  <dcterms:modified xsi:type="dcterms:W3CDTF">2026-04-30T06:15:06Z</dcterms:modified>
</cp:coreProperties>
</file>