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582930</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608965</wp:posOffset>
            </wp:positionV>
            <wp:extent cx="70034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47" w:lineRule="exact"/>
        <w:rPr>
          <w:sz w:val="24"/>
          <w:szCs w:val="24"/>
          <w:color w:val="auto"/>
        </w:rPr>
      </w:pPr>
    </w:p>
    <w:p>
      <w:pPr>
        <w:ind w:left="3820" w:right="1620" w:hanging="3794"/>
        <w:spacing w:after="0" w:line="412" w:lineRule="auto"/>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33" w:lineRule="exact"/>
        <w:rPr>
          <w:sz w:val="24"/>
          <w:szCs w:val="24"/>
          <w:color w:val="auto"/>
        </w:rPr>
      </w:pPr>
    </w:p>
    <w:p>
      <w:pPr>
        <w:ind w:left="540" w:hanging="453"/>
        <w:spacing w:after="0"/>
        <w:tabs>
          <w:tab w:leader="none" w:pos="5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transition period from to</w:t>
      </w:r>
    </w:p>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000-56342</w:t>
      </w:r>
    </w:p>
    <w:p>
      <w:pPr>
        <w:spacing w:after="0" w:line="3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VERANO HOLDINGS CORP.</w:t>
      </w:r>
    </w:p>
    <w:p>
      <w:pPr>
        <w:spacing w:after="0" w:line="133"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166"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534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British Columbia, Canada</w:t>
            </w:r>
          </w:p>
        </w:tc>
        <w:tc>
          <w:tcPr>
            <w:tcW w:w="366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98-1583243</w:t>
            </w:r>
          </w:p>
        </w:tc>
      </w:tr>
      <w:tr>
        <w:trPr>
          <w:trHeight w:val="256"/>
        </w:trPr>
        <w:tc>
          <w:tcPr>
            <w:tcW w:w="53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75"/>
        </w:trPr>
        <w:tc>
          <w:tcPr>
            <w:tcW w:w="534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224 W Hill Street, Suite 400,</w:t>
            </w:r>
          </w:p>
        </w:tc>
        <w:tc>
          <w:tcPr>
            <w:tcW w:w="3660" w:type="dxa"/>
            <w:vAlign w:val="bottom"/>
          </w:tcPr>
          <w:p>
            <w:pPr>
              <w:spacing w:after="0"/>
              <w:rPr>
                <w:sz w:val="23"/>
                <w:szCs w:val="23"/>
                <w:color w:val="auto"/>
              </w:rPr>
            </w:pPr>
          </w:p>
        </w:tc>
      </w:tr>
      <w:tr>
        <w:trPr>
          <w:trHeight w:val="238"/>
        </w:trPr>
        <w:tc>
          <w:tcPr>
            <w:tcW w:w="534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Chicago, Illinois</w:t>
            </w:r>
          </w:p>
        </w:tc>
        <w:tc>
          <w:tcPr>
            <w:tcW w:w="366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rPr>
              <w:t>60610</w:t>
            </w:r>
          </w:p>
        </w:tc>
      </w:tr>
      <w:tr>
        <w:trPr>
          <w:trHeight w:val="257"/>
        </w:trPr>
        <w:tc>
          <w:tcPr>
            <w:tcW w:w="53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(312) 265-0730</w:t>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43180</wp:posOffset>
            </wp:positionV>
            <wp:extent cx="70034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56515</wp:posOffset>
            </wp:positionH>
            <wp:positionV relativeFrom="paragraph">
              <wp:posOffset>45720</wp:posOffset>
            </wp:positionV>
            <wp:extent cx="70294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9450" cy="8890"/>
                    </a:xfrm>
                    <a:prstGeom prst="rect">
                      <a:avLst/>
                    </a:prstGeom>
                    <a:noFill/>
                  </pic:spPr>
                </pic:pic>
              </a:graphicData>
            </a:graphic>
          </wp:anchor>
        </w:drawing>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93" w:lineRule="exact"/>
        <w:rPr>
          <w:sz w:val="24"/>
          <w:szCs w:val="24"/>
          <w:color w:val="auto"/>
        </w:rPr>
      </w:pPr>
    </w:p>
    <w:tbl>
      <w:tblPr>
        <w:tblLayout w:type="fixed"/>
        <w:tblInd w:w="100" w:type="dxa"/>
        <w:tblCellMar>
          <w:top w:w="0" w:type="dxa"/>
          <w:left w:w="0" w:type="dxa"/>
          <w:bottom w:w="0" w:type="dxa"/>
          <w:right w:w="0" w:type="dxa"/>
        </w:tblCellMar>
      </w:tblPr>
      <w:tr>
        <w:trPr>
          <w:trHeight w:val="23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256"/>
        </w:trPr>
        <w:tc>
          <w:tcPr>
            <w:tcW w:w="4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4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32"/>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w:t>
            </w:r>
          </w:p>
        </w:tc>
        <w:tc>
          <w:tcPr>
            <w:tcW w:w="10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w:t>
            </w:r>
          </w:p>
        </w:tc>
        <w:tc>
          <w:tcPr>
            <w:tcW w:w="10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w:t>
            </w:r>
          </w:p>
        </w:tc>
      </w:tr>
    </w:tbl>
    <w:p>
      <w:pPr>
        <w:spacing w:after="0" w:line="20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ectPr>
          <w:pgSz w:w="11900" w:h="16838" w:orient="portrait"/>
          <w:cols w:equalWidth="0" w:num="1">
            <w:col w:w="11240"/>
          </w:cols>
          <w:pgMar w:left="320" w:top="229" w:right="339" w:bottom="1440" w:gutter="0" w:footer="0" w:header="0"/>
        </w:sectPr>
      </w:pP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6" w:lineRule="exact"/>
        <w:rPr>
          <w:sz w:val="20"/>
          <w:szCs w:val="20"/>
          <w:color w:val="auto"/>
        </w:rPr>
      </w:pPr>
    </w:p>
    <w:tbl>
      <w:tblPr>
        <w:tblLayout w:type="fixed"/>
        <w:tblInd w:w="176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00" w:type="dxa"/>
            <w:vAlign w:val="bottom"/>
          </w:tcPr>
          <w:p>
            <w:pPr>
              <w:ind w:left="580"/>
              <w:spacing w:after="0"/>
              <w:rPr>
                <w:sz w:val="20"/>
                <w:szCs w:val="20"/>
                <w:color w:val="auto"/>
              </w:rPr>
            </w:pPr>
            <w:r>
              <w:rPr>
                <w:rFonts w:ascii="Wingdings" w:cs="Wingdings" w:eastAsia="Wingdings" w:hAnsi="Wingdings"/>
                <w:sz w:val="18"/>
                <w:szCs w:val="18"/>
                <w:b w:val="1"/>
                <w:bCs w:val="1"/>
                <w:color w:val="auto"/>
              </w:rPr>
              <w:t>x</w:t>
            </w:r>
          </w:p>
        </w:tc>
        <w:tc>
          <w:tcPr>
            <w:tcW w:w="33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Accelerated filer</w:t>
            </w:r>
          </w:p>
        </w:tc>
        <w:tc>
          <w:tcPr>
            <w:tcW w:w="820" w:type="dxa"/>
            <w:vAlign w:val="bottom"/>
          </w:tcPr>
          <w:p>
            <w:pPr>
              <w:ind w:left="660"/>
              <w:spacing w:after="0"/>
              <w:rPr>
                <w:sz w:val="20"/>
                <w:szCs w:val="20"/>
                <w:color w:val="auto"/>
              </w:rPr>
            </w:pPr>
            <w:r>
              <w:rPr>
                <w:rFonts w:ascii="Wingdings" w:cs="Wingdings" w:eastAsia="Wingdings" w:hAnsi="Wingdings"/>
                <w:sz w:val="18"/>
                <w:szCs w:val="18"/>
                <w:b w:val="1"/>
                <w:bCs w:val="1"/>
                <w:color w:val="auto"/>
                <w:w w:val="86"/>
              </w:rPr>
              <w:t>o</w:t>
            </w:r>
          </w:p>
        </w:tc>
      </w:tr>
      <w:tr>
        <w:trPr>
          <w:trHeight w:val="25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00" w:type="dxa"/>
            <w:vAlign w:val="bottom"/>
          </w:tcPr>
          <w:p>
            <w:pPr>
              <w:ind w:left="580"/>
              <w:spacing w:after="0"/>
              <w:rPr>
                <w:sz w:val="20"/>
                <w:szCs w:val="20"/>
                <w:color w:val="auto"/>
              </w:rPr>
            </w:pPr>
            <w:r>
              <w:rPr>
                <w:rFonts w:ascii="Wingdings" w:cs="Wingdings" w:eastAsia="Wingdings" w:hAnsi="Wingdings"/>
                <w:sz w:val="18"/>
                <w:szCs w:val="18"/>
                <w:b w:val="1"/>
                <w:bCs w:val="1"/>
                <w:color w:val="auto"/>
              </w:rPr>
              <w:t>o</w:t>
            </w:r>
          </w:p>
        </w:tc>
        <w:tc>
          <w:tcPr>
            <w:tcW w:w="33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20" w:type="dxa"/>
            <w:vAlign w:val="bottom"/>
          </w:tcPr>
          <w:p>
            <w:pPr>
              <w:ind w:left="660"/>
              <w:spacing w:after="0"/>
              <w:rPr>
                <w:sz w:val="20"/>
                <w:szCs w:val="20"/>
                <w:color w:val="auto"/>
              </w:rPr>
            </w:pPr>
            <w:r>
              <w:rPr>
                <w:rFonts w:ascii="Wingdings" w:cs="Wingdings" w:eastAsia="Wingdings" w:hAnsi="Wingdings"/>
                <w:sz w:val="18"/>
                <w:szCs w:val="18"/>
                <w:b w:val="1"/>
                <w:bCs w:val="1"/>
                <w:color w:val="auto"/>
                <w:w w:val="86"/>
              </w:rPr>
              <w:t>o</w:t>
            </w:r>
          </w:p>
        </w:tc>
      </w:tr>
      <w:tr>
        <w:trPr>
          <w:trHeight w:val="257"/>
        </w:trPr>
        <w:tc>
          <w:tcPr>
            <w:tcW w:w="2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3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820" w:type="dxa"/>
            <w:vAlign w:val="bottom"/>
          </w:tcPr>
          <w:p>
            <w:pPr>
              <w:ind w:left="66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3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5, 2025, the registrant had 359,718,318 Class A subordinate voting shares and no Class B proportionate voting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120015</wp:posOffset>
            </wp:positionV>
            <wp:extent cx="70034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146050</wp:posOffset>
            </wp:positionV>
            <wp:extent cx="70034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Pages</w:t>
            </w:r>
          </w:p>
        </w:tc>
      </w:tr>
      <w:tr>
        <w:trPr>
          <w:trHeight w:val="40"/>
        </w:trPr>
        <w:tc>
          <w:tcPr>
            <w:tcW w:w="54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gridSpan w:val="2"/>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r>
      <w:tr>
        <w:trPr>
          <w:trHeight w:val="190"/>
        </w:trPr>
        <w:tc>
          <w:tcPr>
            <w:tcW w:w="10140" w:type="dxa"/>
            <w:vAlign w:val="bottom"/>
            <w:gridSpan w:val="24"/>
            <w:shd w:val="clear" w:color="auto" w:fill="CCEEFF"/>
          </w:tcPr>
          <w:p>
            <w:pPr>
              <w:spacing w:after="0" w:line="163" w:lineRule="exact"/>
              <w:rPr>
                <w:sz w:val="20"/>
                <w:szCs w:val="20"/>
                <w:color w:val="auto"/>
              </w:rPr>
            </w:pPr>
            <w:r>
              <w:rPr>
                <w:rFonts w:ascii="Times New Roman" w:cs="Times New Roman" w:eastAsia="Times New Roman" w:hAnsi="Times New Roman"/>
                <w:sz w:val="18"/>
                <w:szCs w:val="18"/>
                <w:color w:val="0000FF"/>
              </w:rPr>
              <w:t>Part I - Financial Information</w:t>
            </w:r>
          </w:p>
        </w:tc>
        <w:tc>
          <w:tcPr>
            <w:tcW w:w="520" w:type="dxa"/>
            <w:vAlign w:val="bottom"/>
            <w:gridSpan w:val="4"/>
            <w:shd w:val="clear" w:color="auto" w:fill="CCEEFF"/>
          </w:tcPr>
          <w:p>
            <w:pPr>
              <w:jc w:val="center"/>
              <w:ind w:left="250"/>
              <w:spacing w:after="0" w:line="169" w:lineRule="exact"/>
              <w:rPr>
                <w:sz w:val="20"/>
                <w:szCs w:val="20"/>
                <w:color w:val="auto"/>
              </w:rPr>
            </w:pPr>
            <w:r>
              <w:rPr>
                <w:rFonts w:ascii="Times New Roman" w:cs="Times New Roman" w:eastAsia="Times New Roman" w:hAnsi="Times New Roman"/>
                <w:sz w:val="18"/>
                <w:szCs w:val="18"/>
                <w:color w:val="0000FF"/>
              </w:rPr>
              <w:t>1</w:t>
            </w:r>
          </w:p>
        </w:tc>
        <w:tc>
          <w:tcPr>
            <w:tcW w:w="360" w:type="dxa"/>
            <w:vAlign w:val="bottom"/>
            <w:shd w:val="clear" w:color="auto" w:fill="CCEEFF"/>
          </w:tcPr>
          <w:p>
            <w:pPr>
              <w:spacing w:after="0"/>
              <w:rPr>
                <w:sz w:val="16"/>
                <w:szCs w:val="16"/>
                <w:color w:val="auto"/>
              </w:rPr>
            </w:pPr>
          </w:p>
        </w:tc>
      </w:tr>
      <w:tr>
        <w:trPr>
          <w:trHeight w:val="68"/>
        </w:trPr>
        <w:tc>
          <w:tcPr>
            <w:tcW w:w="54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r>
      <w:tr>
        <w:trPr>
          <w:trHeight w:val="203"/>
        </w:trPr>
        <w:tc>
          <w:tcPr>
            <w:tcW w:w="540" w:type="dxa"/>
            <w:vAlign w:val="bottom"/>
          </w:tcPr>
          <w:p>
            <w:pPr>
              <w:spacing w:after="0"/>
              <w:rPr>
                <w:sz w:val="17"/>
                <w:szCs w:val="17"/>
                <w:color w:val="auto"/>
              </w:rPr>
            </w:pPr>
          </w:p>
        </w:tc>
        <w:tc>
          <w:tcPr>
            <w:tcW w:w="8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0000FF"/>
              </w:rPr>
              <w:t>Item 1.</w:t>
            </w:r>
          </w:p>
        </w:tc>
        <w:tc>
          <w:tcPr>
            <w:tcW w:w="8760" w:type="dxa"/>
            <w:vAlign w:val="bottom"/>
            <w:gridSpan w:val="19"/>
          </w:tcPr>
          <w:p>
            <w:pPr>
              <w:ind w:left="180"/>
              <w:spacing w:after="0" w:line="202" w:lineRule="exact"/>
              <w:rPr>
                <w:sz w:val="20"/>
                <w:szCs w:val="20"/>
                <w:color w:val="auto"/>
              </w:rPr>
            </w:pPr>
            <w:r>
              <w:rPr>
                <w:rFonts w:ascii="Times New Roman" w:cs="Times New Roman" w:eastAsia="Times New Roman" w:hAnsi="Times New Roman"/>
                <w:sz w:val="18"/>
                <w:szCs w:val="18"/>
                <w:color w:val="0000FF"/>
              </w:rPr>
              <w:t>Unaudited Interim Condensed Consolidated Financial Statements</w:t>
            </w:r>
          </w:p>
        </w:tc>
        <w:tc>
          <w:tcPr>
            <w:tcW w:w="520" w:type="dxa"/>
            <w:vAlign w:val="bottom"/>
            <w:gridSpan w:val="4"/>
          </w:tcPr>
          <w:p>
            <w:pPr>
              <w:jc w:val="center"/>
              <w:ind w:left="250"/>
              <w:spacing w:after="0" w:line="202" w:lineRule="exact"/>
              <w:rPr>
                <w:sz w:val="20"/>
                <w:szCs w:val="20"/>
                <w:color w:val="auto"/>
              </w:rPr>
            </w:pPr>
            <w:r>
              <w:rPr>
                <w:rFonts w:ascii="Times New Roman" w:cs="Times New Roman" w:eastAsia="Times New Roman" w:hAnsi="Times New Roman"/>
                <w:sz w:val="18"/>
                <w:szCs w:val="18"/>
                <w:color w:val="0000FF"/>
              </w:rPr>
              <w:t>1</w:t>
            </w:r>
          </w:p>
        </w:tc>
        <w:tc>
          <w:tcPr>
            <w:tcW w:w="360" w:type="dxa"/>
            <w:vAlign w:val="bottom"/>
          </w:tcPr>
          <w:p>
            <w:pPr>
              <w:spacing w:after="0"/>
              <w:rPr>
                <w:sz w:val="17"/>
                <w:szCs w:val="17"/>
                <w:color w:val="auto"/>
              </w:rPr>
            </w:pPr>
          </w:p>
        </w:tc>
      </w:tr>
      <w:tr>
        <w:trPr>
          <w:trHeight w:val="61"/>
        </w:trPr>
        <w:tc>
          <w:tcPr>
            <w:tcW w:w="540" w:type="dxa"/>
            <w:vAlign w:val="bottom"/>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14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r>
      <w:tr>
        <w:trPr>
          <w:trHeight w:val="203"/>
        </w:trPr>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760" w:type="dxa"/>
            <w:vAlign w:val="bottom"/>
            <w:gridSpan w:val="19"/>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520" w:type="dxa"/>
            <w:vAlign w:val="bottom"/>
            <w:gridSpan w:val="4"/>
            <w:shd w:val="clear" w:color="auto" w:fill="CCEEFF"/>
          </w:tcPr>
          <w:p>
            <w:pPr>
              <w:jc w:val="center"/>
              <w:ind w:left="250"/>
              <w:spacing w:after="0" w:line="202" w:lineRule="exact"/>
              <w:rPr>
                <w:sz w:val="20"/>
                <w:szCs w:val="20"/>
                <w:color w:val="auto"/>
              </w:rPr>
            </w:pPr>
            <w:r>
              <w:rPr>
                <w:rFonts w:ascii="Times New Roman" w:cs="Times New Roman" w:eastAsia="Times New Roman" w:hAnsi="Times New Roman"/>
                <w:sz w:val="18"/>
                <w:szCs w:val="18"/>
                <w:color w:val="0000FF"/>
              </w:rPr>
              <w:t>2</w:t>
            </w:r>
          </w:p>
        </w:tc>
        <w:tc>
          <w:tcPr>
            <w:tcW w:w="360" w:type="dxa"/>
            <w:vAlign w:val="bottom"/>
            <w:shd w:val="clear" w:color="auto" w:fill="CCEEFF"/>
          </w:tcPr>
          <w:p>
            <w:pPr>
              <w:spacing w:after="0"/>
              <w:rPr>
                <w:sz w:val="17"/>
                <w:szCs w:val="17"/>
                <w:color w:val="auto"/>
              </w:rPr>
            </w:pPr>
          </w:p>
        </w:tc>
      </w:tr>
      <w:tr>
        <w:trPr>
          <w:trHeight w:val="61"/>
        </w:trPr>
        <w:tc>
          <w:tcPr>
            <w:tcW w:w="5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620" w:type="dxa"/>
            <w:vAlign w:val="bottom"/>
            <w:tcBorders>
              <w:top w:val="single" w:sz="8" w:color="0000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r>
      <w:tr>
        <w:trPr>
          <w:trHeight w:val="203"/>
        </w:trPr>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60" w:type="dxa"/>
            <w:vAlign w:val="bottom"/>
            <w:gridSpan w:val="19"/>
          </w:tcPr>
          <w:p>
            <w:pPr>
              <w:ind w:left="180"/>
              <w:spacing w:after="0" w:line="202" w:lineRule="exact"/>
              <w:rPr>
                <w:sz w:val="20"/>
                <w:szCs w:val="20"/>
                <w:color w:val="auto"/>
              </w:rPr>
            </w:pPr>
            <w:r>
              <w:rPr>
                <w:rFonts w:ascii="Times New Roman" w:cs="Times New Roman" w:eastAsia="Times New Roman" w:hAnsi="Times New Roman"/>
                <w:sz w:val="18"/>
                <w:szCs w:val="18"/>
                <w:color w:val="0000FF"/>
              </w:rPr>
              <w:t>Unaudited Interim Condensed Consolidated Statements of Operations</w:t>
            </w:r>
          </w:p>
        </w:tc>
        <w:tc>
          <w:tcPr>
            <w:tcW w:w="520" w:type="dxa"/>
            <w:vAlign w:val="bottom"/>
            <w:gridSpan w:val="4"/>
          </w:tcPr>
          <w:p>
            <w:pPr>
              <w:jc w:val="center"/>
              <w:ind w:left="250"/>
              <w:spacing w:after="0" w:line="202" w:lineRule="exact"/>
              <w:rPr>
                <w:sz w:val="20"/>
                <w:szCs w:val="20"/>
                <w:color w:val="auto"/>
              </w:rPr>
            </w:pPr>
            <w:r>
              <w:rPr>
                <w:rFonts w:ascii="Times New Roman" w:cs="Times New Roman" w:eastAsia="Times New Roman" w:hAnsi="Times New Roman"/>
                <w:sz w:val="18"/>
                <w:szCs w:val="18"/>
                <w:color w:val="0000FF"/>
              </w:rPr>
              <w:t>3</w:t>
            </w:r>
          </w:p>
        </w:tc>
        <w:tc>
          <w:tcPr>
            <w:tcW w:w="360" w:type="dxa"/>
            <w:vAlign w:val="bottom"/>
          </w:tcPr>
          <w:p>
            <w:pPr>
              <w:spacing w:after="0"/>
              <w:rPr>
                <w:sz w:val="17"/>
                <w:szCs w:val="17"/>
                <w:color w:val="auto"/>
              </w:rPr>
            </w:pPr>
          </w:p>
        </w:tc>
      </w:tr>
      <w:tr>
        <w:trPr>
          <w:trHeight w:val="61"/>
        </w:trPr>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14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r>
      <w:tr>
        <w:trPr>
          <w:trHeight w:val="203"/>
        </w:trPr>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760" w:type="dxa"/>
            <w:vAlign w:val="bottom"/>
            <w:gridSpan w:val="19"/>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Unaudited Interim Condensed Consolidated Statements of Changes in Shareholders' Equity</w:t>
            </w:r>
          </w:p>
        </w:tc>
        <w:tc>
          <w:tcPr>
            <w:tcW w:w="520" w:type="dxa"/>
            <w:vAlign w:val="bottom"/>
            <w:gridSpan w:val="4"/>
            <w:shd w:val="clear" w:color="auto" w:fill="CCEEFF"/>
          </w:tcPr>
          <w:p>
            <w:pPr>
              <w:jc w:val="center"/>
              <w:ind w:left="250"/>
              <w:spacing w:after="0" w:line="202" w:lineRule="exact"/>
              <w:rPr>
                <w:sz w:val="20"/>
                <w:szCs w:val="20"/>
                <w:color w:val="auto"/>
              </w:rPr>
            </w:pPr>
            <w:r>
              <w:rPr>
                <w:rFonts w:ascii="Times New Roman" w:cs="Times New Roman" w:eastAsia="Times New Roman" w:hAnsi="Times New Roman"/>
                <w:sz w:val="18"/>
                <w:szCs w:val="18"/>
                <w:color w:val="0000FF"/>
              </w:rPr>
              <w:t>4</w:t>
            </w:r>
          </w:p>
        </w:tc>
        <w:tc>
          <w:tcPr>
            <w:tcW w:w="360" w:type="dxa"/>
            <w:vAlign w:val="bottom"/>
            <w:shd w:val="clear" w:color="auto" w:fill="CCEEFF"/>
          </w:tcPr>
          <w:p>
            <w:pPr>
              <w:spacing w:after="0"/>
              <w:rPr>
                <w:sz w:val="17"/>
                <w:szCs w:val="17"/>
                <w:color w:val="auto"/>
              </w:rPr>
            </w:pPr>
          </w:p>
        </w:tc>
      </w:tr>
      <w:tr>
        <w:trPr>
          <w:trHeight w:val="61"/>
        </w:trPr>
        <w:tc>
          <w:tcPr>
            <w:tcW w:w="5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620" w:type="dxa"/>
            <w:vAlign w:val="bottom"/>
            <w:tcBorders>
              <w:top w:val="single" w:sz="8" w:color="0000FF"/>
            </w:tcBorders>
            <w:shd w:val="clear" w:color="auto" w:fill="CCEEFF"/>
          </w:tcPr>
          <w:p>
            <w:pPr>
              <w:spacing w:after="0"/>
              <w:rPr>
                <w:sz w:val="5"/>
                <w:szCs w:val="5"/>
                <w:color w:val="auto"/>
              </w:rPr>
            </w:pPr>
          </w:p>
        </w:tc>
        <w:tc>
          <w:tcPr>
            <w:tcW w:w="14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108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20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r>
      <w:tr>
        <w:trPr>
          <w:trHeight w:val="203"/>
        </w:trPr>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60" w:type="dxa"/>
            <w:vAlign w:val="bottom"/>
            <w:gridSpan w:val="19"/>
          </w:tcPr>
          <w:p>
            <w:pPr>
              <w:ind w:left="180"/>
              <w:spacing w:after="0" w:line="202" w:lineRule="exact"/>
              <w:rPr>
                <w:sz w:val="20"/>
                <w:szCs w:val="20"/>
                <w:color w:val="auto"/>
              </w:rPr>
            </w:pPr>
            <w:r>
              <w:rPr>
                <w:rFonts w:ascii="Times New Roman" w:cs="Times New Roman" w:eastAsia="Times New Roman" w:hAnsi="Times New Roman"/>
                <w:sz w:val="18"/>
                <w:szCs w:val="18"/>
                <w:color w:val="0000FF"/>
              </w:rPr>
              <w:t>Unaudited Interim Condensed Consolidated Statements of Cash Flows</w:t>
            </w:r>
          </w:p>
        </w:tc>
        <w:tc>
          <w:tcPr>
            <w:tcW w:w="520" w:type="dxa"/>
            <w:vAlign w:val="bottom"/>
            <w:gridSpan w:val="4"/>
          </w:tcPr>
          <w:p>
            <w:pPr>
              <w:jc w:val="center"/>
              <w:ind w:left="250"/>
              <w:spacing w:after="0" w:line="202" w:lineRule="exact"/>
              <w:rPr>
                <w:sz w:val="20"/>
                <w:szCs w:val="20"/>
                <w:color w:val="auto"/>
              </w:rPr>
            </w:pPr>
            <w:r>
              <w:rPr>
                <w:rFonts w:ascii="Times New Roman" w:cs="Times New Roman" w:eastAsia="Times New Roman" w:hAnsi="Times New Roman"/>
                <w:sz w:val="18"/>
                <w:szCs w:val="18"/>
                <w:color w:val="0000FF"/>
              </w:rPr>
              <w:t>5</w:t>
            </w:r>
          </w:p>
        </w:tc>
        <w:tc>
          <w:tcPr>
            <w:tcW w:w="360" w:type="dxa"/>
            <w:vAlign w:val="bottom"/>
          </w:tcPr>
          <w:p>
            <w:pPr>
              <w:spacing w:after="0"/>
              <w:rPr>
                <w:sz w:val="17"/>
                <w:szCs w:val="17"/>
                <w:color w:val="auto"/>
              </w:rPr>
            </w:pPr>
          </w:p>
        </w:tc>
      </w:tr>
      <w:tr>
        <w:trPr>
          <w:trHeight w:val="61"/>
        </w:trPr>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14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r>
      <w:tr>
        <w:trPr>
          <w:trHeight w:val="203"/>
        </w:trPr>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760" w:type="dxa"/>
            <w:vAlign w:val="bottom"/>
            <w:gridSpan w:val="19"/>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Notes to Unaudited Interim Condensed Consolidated Financial Statements</w:t>
            </w:r>
          </w:p>
        </w:tc>
        <w:tc>
          <w:tcPr>
            <w:tcW w:w="520" w:type="dxa"/>
            <w:vAlign w:val="bottom"/>
            <w:gridSpan w:val="4"/>
            <w:shd w:val="clear" w:color="auto" w:fill="CCEEFF"/>
          </w:tcPr>
          <w:p>
            <w:pPr>
              <w:jc w:val="center"/>
              <w:ind w:left="250"/>
              <w:spacing w:after="0" w:line="202" w:lineRule="exact"/>
              <w:rPr>
                <w:sz w:val="20"/>
                <w:szCs w:val="20"/>
                <w:color w:val="auto"/>
              </w:rPr>
            </w:pPr>
            <w:r>
              <w:rPr>
                <w:rFonts w:ascii="Times New Roman" w:cs="Times New Roman" w:eastAsia="Times New Roman" w:hAnsi="Times New Roman"/>
                <w:sz w:val="18"/>
                <w:szCs w:val="18"/>
                <w:color w:val="0000FF"/>
              </w:rPr>
              <w:t>6</w:t>
            </w:r>
          </w:p>
        </w:tc>
        <w:tc>
          <w:tcPr>
            <w:tcW w:w="360" w:type="dxa"/>
            <w:vAlign w:val="bottom"/>
            <w:shd w:val="clear" w:color="auto" w:fill="CCEEFF"/>
          </w:tcPr>
          <w:p>
            <w:pPr>
              <w:spacing w:after="0"/>
              <w:rPr>
                <w:sz w:val="17"/>
                <w:szCs w:val="17"/>
                <w:color w:val="auto"/>
              </w:rPr>
            </w:pPr>
          </w:p>
        </w:tc>
      </w:tr>
      <w:tr>
        <w:trPr>
          <w:trHeight w:val="61"/>
        </w:trPr>
        <w:tc>
          <w:tcPr>
            <w:tcW w:w="5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620" w:type="dxa"/>
            <w:vAlign w:val="bottom"/>
            <w:tcBorders>
              <w:top w:val="single" w:sz="8" w:color="0000FF"/>
            </w:tcBorders>
            <w:shd w:val="clear" w:color="auto" w:fill="CCEEFF"/>
          </w:tcPr>
          <w:p>
            <w:pPr>
              <w:spacing w:after="0"/>
              <w:rPr>
                <w:sz w:val="5"/>
                <w:szCs w:val="5"/>
                <w:color w:val="auto"/>
              </w:rPr>
            </w:pPr>
          </w:p>
        </w:tc>
        <w:tc>
          <w:tcPr>
            <w:tcW w:w="14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r>
      <w:tr>
        <w:trPr>
          <w:trHeight w:val="202"/>
        </w:trPr>
        <w:tc>
          <w:tcPr>
            <w:tcW w:w="540" w:type="dxa"/>
            <w:vAlign w:val="bottom"/>
          </w:tcPr>
          <w:p>
            <w:pPr>
              <w:spacing w:after="0"/>
              <w:rPr>
                <w:sz w:val="17"/>
                <w:szCs w:val="17"/>
                <w:color w:val="auto"/>
              </w:rPr>
            </w:pPr>
          </w:p>
        </w:tc>
        <w:tc>
          <w:tcPr>
            <w:tcW w:w="8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0000FF"/>
              </w:rPr>
              <w:t>Item 2.</w:t>
            </w:r>
          </w:p>
        </w:tc>
        <w:tc>
          <w:tcPr>
            <w:tcW w:w="8760" w:type="dxa"/>
            <w:vAlign w:val="bottom"/>
            <w:gridSpan w:val="19"/>
          </w:tcPr>
          <w:p>
            <w:pPr>
              <w:ind w:left="180"/>
              <w:spacing w:after="0" w:line="20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80" w:type="dxa"/>
            <w:vAlign w:val="bottom"/>
            <w:gridSpan w:val="5"/>
          </w:tcPr>
          <w:p>
            <w:pPr>
              <w:jc w:val="center"/>
              <w:ind w:right="20"/>
              <w:spacing w:after="0" w:line="202" w:lineRule="exact"/>
              <w:rPr>
                <w:sz w:val="20"/>
                <w:szCs w:val="20"/>
                <w:color w:val="auto"/>
              </w:rPr>
            </w:pPr>
            <w:r>
              <w:rPr>
                <w:rFonts w:ascii="Times New Roman" w:cs="Times New Roman" w:eastAsia="Times New Roman" w:hAnsi="Times New Roman"/>
                <w:sz w:val="18"/>
                <w:szCs w:val="18"/>
                <w:color w:val="0000FF"/>
                <w:w w:val="99"/>
              </w:rPr>
              <w:t>30</w:t>
            </w:r>
          </w:p>
        </w:tc>
      </w:tr>
      <w:tr>
        <w:trPr>
          <w:trHeight w:val="61"/>
        </w:trPr>
        <w:tc>
          <w:tcPr>
            <w:tcW w:w="540" w:type="dxa"/>
            <w:vAlign w:val="bottom"/>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14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1080" w:type="dxa"/>
            <w:vAlign w:val="bottom"/>
            <w:tcBorders>
              <w:top w:val="single" w:sz="8" w:color="0000FF"/>
            </w:tcBorders>
          </w:tcPr>
          <w:p>
            <w:pPr>
              <w:spacing w:after="0"/>
              <w:rPr>
                <w:sz w:val="5"/>
                <w:szCs w:val="5"/>
                <w:color w:val="auto"/>
              </w:rPr>
            </w:pPr>
          </w:p>
        </w:tc>
        <w:tc>
          <w:tcPr>
            <w:tcW w:w="1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60" w:type="dxa"/>
            <w:vAlign w:val="bottom"/>
          </w:tcPr>
          <w:p>
            <w:pPr>
              <w:spacing w:after="0"/>
              <w:rPr>
                <w:sz w:val="5"/>
                <w:szCs w:val="5"/>
                <w:color w:val="auto"/>
              </w:rPr>
            </w:pPr>
          </w:p>
        </w:tc>
      </w:tr>
      <w:tr>
        <w:trPr>
          <w:trHeight w:val="203"/>
        </w:trPr>
        <w:tc>
          <w:tcPr>
            <w:tcW w:w="540" w:type="dxa"/>
            <w:vAlign w:val="bottom"/>
            <w:shd w:val="clear" w:color="auto" w:fill="CCEEFF"/>
          </w:tcPr>
          <w:p>
            <w:pPr>
              <w:spacing w:after="0"/>
              <w:rPr>
                <w:sz w:val="17"/>
                <w:szCs w:val="17"/>
                <w:color w:val="auto"/>
              </w:rPr>
            </w:pPr>
          </w:p>
        </w:tc>
        <w:tc>
          <w:tcPr>
            <w:tcW w:w="84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3.</w:t>
            </w:r>
          </w:p>
        </w:tc>
        <w:tc>
          <w:tcPr>
            <w:tcW w:w="8760" w:type="dxa"/>
            <w:vAlign w:val="bottom"/>
            <w:gridSpan w:val="19"/>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80" w:type="dxa"/>
            <w:vAlign w:val="bottom"/>
            <w:gridSpan w:val="5"/>
            <w:shd w:val="clear" w:color="auto" w:fill="CCEEFF"/>
          </w:tcPr>
          <w:p>
            <w:pPr>
              <w:jc w:val="center"/>
              <w:ind w:right="20"/>
              <w:spacing w:after="0" w:line="202" w:lineRule="exact"/>
              <w:rPr>
                <w:sz w:val="20"/>
                <w:szCs w:val="20"/>
                <w:color w:val="auto"/>
              </w:rPr>
            </w:pPr>
            <w:r>
              <w:rPr>
                <w:rFonts w:ascii="Times New Roman" w:cs="Times New Roman" w:eastAsia="Times New Roman" w:hAnsi="Times New Roman"/>
                <w:sz w:val="18"/>
                <w:szCs w:val="18"/>
                <w:color w:val="0000FF"/>
                <w:w w:val="99"/>
              </w:rPr>
              <w:t>38</w:t>
            </w:r>
          </w:p>
        </w:tc>
      </w:tr>
      <w:tr>
        <w:trPr>
          <w:trHeight w:val="61"/>
        </w:trPr>
        <w:tc>
          <w:tcPr>
            <w:tcW w:w="5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620" w:type="dxa"/>
            <w:vAlign w:val="bottom"/>
            <w:tcBorders>
              <w:top w:val="single" w:sz="8" w:color="0000FF"/>
            </w:tcBorders>
            <w:shd w:val="clear" w:color="auto" w:fill="CCEEFF"/>
          </w:tcPr>
          <w:p>
            <w:pPr>
              <w:spacing w:after="0"/>
              <w:rPr>
                <w:sz w:val="5"/>
                <w:szCs w:val="5"/>
                <w:color w:val="auto"/>
              </w:rPr>
            </w:pPr>
          </w:p>
        </w:tc>
        <w:tc>
          <w:tcPr>
            <w:tcW w:w="14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r>
      <w:tr>
        <w:trPr>
          <w:trHeight w:val="203"/>
        </w:trPr>
        <w:tc>
          <w:tcPr>
            <w:tcW w:w="540" w:type="dxa"/>
            <w:vAlign w:val="bottom"/>
          </w:tcPr>
          <w:p>
            <w:pPr>
              <w:spacing w:after="0"/>
              <w:rPr>
                <w:sz w:val="17"/>
                <w:szCs w:val="17"/>
                <w:color w:val="auto"/>
              </w:rPr>
            </w:pPr>
          </w:p>
        </w:tc>
        <w:tc>
          <w:tcPr>
            <w:tcW w:w="8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0000FF"/>
              </w:rPr>
              <w:t>Item 4.</w:t>
            </w:r>
          </w:p>
        </w:tc>
        <w:tc>
          <w:tcPr>
            <w:tcW w:w="8760" w:type="dxa"/>
            <w:vAlign w:val="bottom"/>
            <w:gridSpan w:val="19"/>
          </w:tcPr>
          <w:p>
            <w:pPr>
              <w:ind w:left="180"/>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gridSpan w:val="5"/>
          </w:tcPr>
          <w:p>
            <w:pPr>
              <w:jc w:val="center"/>
              <w:ind w:right="20"/>
              <w:spacing w:after="0" w:line="202" w:lineRule="exact"/>
              <w:rPr>
                <w:sz w:val="20"/>
                <w:szCs w:val="20"/>
                <w:color w:val="auto"/>
              </w:rPr>
            </w:pPr>
            <w:r>
              <w:rPr>
                <w:rFonts w:ascii="Times New Roman" w:cs="Times New Roman" w:eastAsia="Times New Roman" w:hAnsi="Times New Roman"/>
                <w:sz w:val="18"/>
                <w:szCs w:val="18"/>
                <w:color w:val="0000FF"/>
                <w:w w:val="99"/>
              </w:rPr>
              <w:t>38</w:t>
            </w:r>
          </w:p>
        </w:tc>
      </w:tr>
      <w:tr>
        <w:trPr>
          <w:trHeight w:val="61"/>
        </w:trPr>
        <w:tc>
          <w:tcPr>
            <w:tcW w:w="540" w:type="dxa"/>
            <w:vAlign w:val="bottom"/>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60" w:type="dxa"/>
            <w:vAlign w:val="bottom"/>
          </w:tcPr>
          <w:p>
            <w:pPr>
              <w:spacing w:after="0"/>
              <w:rPr>
                <w:sz w:val="5"/>
                <w:szCs w:val="5"/>
                <w:color w:val="auto"/>
              </w:rPr>
            </w:pPr>
          </w:p>
        </w:tc>
      </w:tr>
      <w:tr>
        <w:trPr>
          <w:trHeight w:val="203"/>
        </w:trPr>
        <w:tc>
          <w:tcPr>
            <w:tcW w:w="1014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Part II - Other Information</w:t>
            </w:r>
          </w:p>
        </w:tc>
        <w:tc>
          <w:tcPr>
            <w:tcW w:w="880" w:type="dxa"/>
            <w:vAlign w:val="bottom"/>
            <w:gridSpan w:val="5"/>
            <w:shd w:val="clear" w:color="auto" w:fill="CCEEFF"/>
          </w:tcPr>
          <w:p>
            <w:pPr>
              <w:jc w:val="center"/>
              <w:ind w:right="20"/>
              <w:spacing w:after="0" w:line="202" w:lineRule="exact"/>
              <w:rPr>
                <w:sz w:val="20"/>
                <w:szCs w:val="20"/>
                <w:color w:val="auto"/>
              </w:rPr>
            </w:pPr>
            <w:r>
              <w:rPr>
                <w:rFonts w:ascii="Times New Roman" w:cs="Times New Roman" w:eastAsia="Times New Roman" w:hAnsi="Times New Roman"/>
                <w:sz w:val="18"/>
                <w:szCs w:val="18"/>
                <w:color w:val="0000FF"/>
                <w:w w:val="99"/>
              </w:rPr>
              <w:t>39</w:t>
            </w:r>
          </w:p>
        </w:tc>
      </w:tr>
      <w:tr>
        <w:trPr>
          <w:trHeight w:val="61"/>
        </w:trPr>
        <w:tc>
          <w:tcPr>
            <w:tcW w:w="54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r>
      <w:tr>
        <w:trPr>
          <w:trHeight w:val="203"/>
        </w:trPr>
        <w:tc>
          <w:tcPr>
            <w:tcW w:w="540" w:type="dxa"/>
            <w:vAlign w:val="bottom"/>
          </w:tcPr>
          <w:p>
            <w:pPr>
              <w:spacing w:after="0"/>
              <w:rPr>
                <w:sz w:val="17"/>
                <w:szCs w:val="17"/>
                <w:color w:val="auto"/>
              </w:rPr>
            </w:pPr>
          </w:p>
        </w:tc>
        <w:tc>
          <w:tcPr>
            <w:tcW w:w="8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0000FF"/>
              </w:rPr>
              <w:t>Item 1.</w:t>
            </w:r>
          </w:p>
        </w:tc>
        <w:tc>
          <w:tcPr>
            <w:tcW w:w="8760" w:type="dxa"/>
            <w:vAlign w:val="bottom"/>
            <w:gridSpan w:val="19"/>
          </w:tcPr>
          <w:p>
            <w:pPr>
              <w:ind w:left="180"/>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880" w:type="dxa"/>
            <w:vAlign w:val="bottom"/>
            <w:gridSpan w:val="5"/>
          </w:tcPr>
          <w:p>
            <w:pPr>
              <w:jc w:val="center"/>
              <w:ind w:right="20"/>
              <w:spacing w:after="0" w:line="202" w:lineRule="exact"/>
              <w:rPr>
                <w:sz w:val="20"/>
                <w:szCs w:val="20"/>
                <w:color w:val="auto"/>
              </w:rPr>
            </w:pPr>
            <w:r>
              <w:rPr>
                <w:rFonts w:ascii="Times New Roman" w:cs="Times New Roman" w:eastAsia="Times New Roman" w:hAnsi="Times New Roman"/>
                <w:sz w:val="18"/>
                <w:szCs w:val="18"/>
                <w:color w:val="0000FF"/>
                <w:w w:val="99"/>
              </w:rPr>
              <w:t>39</w:t>
            </w:r>
          </w:p>
        </w:tc>
      </w:tr>
      <w:tr>
        <w:trPr>
          <w:trHeight w:val="61"/>
        </w:trPr>
        <w:tc>
          <w:tcPr>
            <w:tcW w:w="540" w:type="dxa"/>
            <w:vAlign w:val="bottom"/>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60" w:type="dxa"/>
            <w:vAlign w:val="bottom"/>
          </w:tcPr>
          <w:p>
            <w:pPr>
              <w:spacing w:after="0"/>
              <w:rPr>
                <w:sz w:val="5"/>
                <w:szCs w:val="5"/>
                <w:color w:val="auto"/>
              </w:rPr>
            </w:pPr>
          </w:p>
        </w:tc>
      </w:tr>
      <w:tr>
        <w:trPr>
          <w:trHeight w:val="203"/>
        </w:trPr>
        <w:tc>
          <w:tcPr>
            <w:tcW w:w="540" w:type="dxa"/>
            <w:vAlign w:val="bottom"/>
            <w:shd w:val="clear" w:color="auto" w:fill="CCEEFF"/>
          </w:tcPr>
          <w:p>
            <w:pPr>
              <w:spacing w:after="0"/>
              <w:rPr>
                <w:sz w:val="17"/>
                <w:szCs w:val="17"/>
                <w:color w:val="auto"/>
              </w:rPr>
            </w:pPr>
          </w:p>
        </w:tc>
        <w:tc>
          <w:tcPr>
            <w:tcW w:w="84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1A.</w:t>
            </w:r>
          </w:p>
        </w:tc>
        <w:tc>
          <w:tcPr>
            <w:tcW w:w="8760" w:type="dxa"/>
            <w:vAlign w:val="bottom"/>
            <w:gridSpan w:val="19"/>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gridSpan w:val="5"/>
            <w:shd w:val="clear" w:color="auto" w:fill="CCEEFF"/>
          </w:tcPr>
          <w:p>
            <w:pPr>
              <w:jc w:val="center"/>
              <w:ind w:right="20"/>
              <w:spacing w:after="0" w:line="202" w:lineRule="exact"/>
              <w:rPr>
                <w:sz w:val="20"/>
                <w:szCs w:val="20"/>
                <w:color w:val="auto"/>
              </w:rPr>
            </w:pPr>
            <w:r>
              <w:rPr>
                <w:rFonts w:ascii="Times New Roman" w:cs="Times New Roman" w:eastAsia="Times New Roman" w:hAnsi="Times New Roman"/>
                <w:sz w:val="18"/>
                <w:szCs w:val="18"/>
                <w:color w:val="0000FF"/>
                <w:w w:val="99"/>
              </w:rPr>
              <w:t>39</w:t>
            </w:r>
          </w:p>
        </w:tc>
      </w:tr>
      <w:tr>
        <w:trPr>
          <w:trHeight w:val="61"/>
        </w:trPr>
        <w:tc>
          <w:tcPr>
            <w:tcW w:w="5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r>
      <w:tr>
        <w:trPr>
          <w:trHeight w:val="203"/>
        </w:trPr>
        <w:tc>
          <w:tcPr>
            <w:tcW w:w="540" w:type="dxa"/>
            <w:vAlign w:val="bottom"/>
          </w:tcPr>
          <w:p>
            <w:pPr>
              <w:spacing w:after="0"/>
              <w:rPr>
                <w:sz w:val="17"/>
                <w:szCs w:val="17"/>
                <w:color w:val="auto"/>
              </w:rPr>
            </w:pPr>
          </w:p>
        </w:tc>
        <w:tc>
          <w:tcPr>
            <w:tcW w:w="8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0000FF"/>
              </w:rPr>
              <w:t>Item 2.</w:t>
            </w:r>
          </w:p>
        </w:tc>
        <w:tc>
          <w:tcPr>
            <w:tcW w:w="8760" w:type="dxa"/>
            <w:vAlign w:val="bottom"/>
            <w:gridSpan w:val="19"/>
          </w:tcPr>
          <w:p>
            <w:pPr>
              <w:ind w:left="180"/>
              <w:spacing w:after="0" w:line="20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80" w:type="dxa"/>
            <w:vAlign w:val="bottom"/>
            <w:gridSpan w:val="5"/>
          </w:tcPr>
          <w:p>
            <w:pPr>
              <w:jc w:val="center"/>
              <w:ind w:right="20"/>
              <w:spacing w:after="0" w:line="202" w:lineRule="exact"/>
              <w:rPr>
                <w:sz w:val="20"/>
                <w:szCs w:val="20"/>
                <w:color w:val="auto"/>
              </w:rPr>
            </w:pPr>
            <w:r>
              <w:rPr>
                <w:rFonts w:ascii="Times New Roman" w:cs="Times New Roman" w:eastAsia="Times New Roman" w:hAnsi="Times New Roman"/>
                <w:sz w:val="18"/>
                <w:szCs w:val="18"/>
                <w:color w:val="0000FF"/>
                <w:w w:val="99"/>
              </w:rPr>
              <w:t>39</w:t>
            </w:r>
          </w:p>
        </w:tc>
      </w:tr>
      <w:tr>
        <w:trPr>
          <w:trHeight w:val="61"/>
        </w:trPr>
        <w:tc>
          <w:tcPr>
            <w:tcW w:w="540" w:type="dxa"/>
            <w:vAlign w:val="bottom"/>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140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60" w:type="dxa"/>
            <w:vAlign w:val="bottom"/>
          </w:tcPr>
          <w:p>
            <w:pPr>
              <w:spacing w:after="0"/>
              <w:rPr>
                <w:sz w:val="5"/>
                <w:szCs w:val="5"/>
                <w:color w:val="auto"/>
              </w:rPr>
            </w:pPr>
          </w:p>
        </w:tc>
      </w:tr>
      <w:tr>
        <w:trPr>
          <w:trHeight w:val="202"/>
        </w:trPr>
        <w:tc>
          <w:tcPr>
            <w:tcW w:w="540" w:type="dxa"/>
            <w:vAlign w:val="bottom"/>
            <w:shd w:val="clear" w:color="auto" w:fill="CCEEFF"/>
          </w:tcPr>
          <w:p>
            <w:pPr>
              <w:spacing w:after="0"/>
              <w:rPr>
                <w:sz w:val="17"/>
                <w:szCs w:val="17"/>
                <w:color w:val="auto"/>
              </w:rPr>
            </w:pPr>
          </w:p>
        </w:tc>
        <w:tc>
          <w:tcPr>
            <w:tcW w:w="84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3.</w:t>
            </w:r>
          </w:p>
        </w:tc>
        <w:tc>
          <w:tcPr>
            <w:tcW w:w="8760" w:type="dxa"/>
            <w:vAlign w:val="bottom"/>
            <w:gridSpan w:val="19"/>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880" w:type="dxa"/>
            <w:vAlign w:val="bottom"/>
            <w:gridSpan w:val="5"/>
            <w:shd w:val="clear" w:color="auto" w:fill="CCEEFF"/>
          </w:tcPr>
          <w:p>
            <w:pPr>
              <w:jc w:val="center"/>
              <w:ind w:right="20"/>
              <w:spacing w:after="0" w:line="202" w:lineRule="exact"/>
              <w:rPr>
                <w:sz w:val="20"/>
                <w:szCs w:val="20"/>
                <w:color w:val="auto"/>
              </w:rPr>
            </w:pPr>
            <w:r>
              <w:rPr>
                <w:rFonts w:ascii="Times New Roman" w:cs="Times New Roman" w:eastAsia="Times New Roman" w:hAnsi="Times New Roman"/>
                <w:sz w:val="18"/>
                <w:szCs w:val="18"/>
                <w:color w:val="0000FF"/>
                <w:w w:val="99"/>
              </w:rPr>
              <w:t>39</w:t>
            </w:r>
          </w:p>
        </w:tc>
      </w:tr>
      <w:tr>
        <w:trPr>
          <w:trHeight w:val="61"/>
        </w:trPr>
        <w:tc>
          <w:tcPr>
            <w:tcW w:w="5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r>
      <w:tr>
        <w:trPr>
          <w:trHeight w:val="203"/>
        </w:trPr>
        <w:tc>
          <w:tcPr>
            <w:tcW w:w="540" w:type="dxa"/>
            <w:vAlign w:val="bottom"/>
          </w:tcPr>
          <w:p>
            <w:pPr>
              <w:spacing w:after="0"/>
              <w:rPr>
                <w:sz w:val="17"/>
                <w:szCs w:val="17"/>
                <w:color w:val="auto"/>
              </w:rPr>
            </w:pPr>
          </w:p>
        </w:tc>
        <w:tc>
          <w:tcPr>
            <w:tcW w:w="8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0000FF"/>
              </w:rPr>
              <w:t>Item 4.</w:t>
            </w:r>
          </w:p>
        </w:tc>
        <w:tc>
          <w:tcPr>
            <w:tcW w:w="8760" w:type="dxa"/>
            <w:vAlign w:val="bottom"/>
            <w:gridSpan w:val="19"/>
          </w:tcPr>
          <w:p>
            <w:pPr>
              <w:ind w:left="180"/>
              <w:spacing w:after="0" w:line="202" w:lineRule="exact"/>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gridSpan w:val="5"/>
          </w:tcPr>
          <w:p>
            <w:pPr>
              <w:jc w:val="center"/>
              <w:ind w:right="20"/>
              <w:spacing w:after="0" w:line="202" w:lineRule="exact"/>
              <w:rPr>
                <w:sz w:val="20"/>
                <w:szCs w:val="20"/>
                <w:color w:val="auto"/>
              </w:rPr>
            </w:pPr>
            <w:r>
              <w:rPr>
                <w:rFonts w:ascii="Times New Roman" w:cs="Times New Roman" w:eastAsia="Times New Roman" w:hAnsi="Times New Roman"/>
                <w:sz w:val="18"/>
                <w:szCs w:val="18"/>
                <w:color w:val="0000FF"/>
                <w:w w:val="99"/>
              </w:rPr>
              <w:t>39</w:t>
            </w:r>
          </w:p>
        </w:tc>
      </w:tr>
      <w:tr>
        <w:trPr>
          <w:trHeight w:val="61"/>
        </w:trPr>
        <w:tc>
          <w:tcPr>
            <w:tcW w:w="540" w:type="dxa"/>
            <w:vAlign w:val="bottom"/>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60" w:type="dxa"/>
            <w:vAlign w:val="bottom"/>
          </w:tcPr>
          <w:p>
            <w:pPr>
              <w:spacing w:after="0"/>
              <w:rPr>
                <w:sz w:val="5"/>
                <w:szCs w:val="5"/>
                <w:color w:val="auto"/>
              </w:rPr>
            </w:pPr>
          </w:p>
        </w:tc>
      </w:tr>
      <w:tr>
        <w:trPr>
          <w:trHeight w:val="203"/>
        </w:trPr>
        <w:tc>
          <w:tcPr>
            <w:tcW w:w="540" w:type="dxa"/>
            <w:vAlign w:val="bottom"/>
            <w:shd w:val="clear" w:color="auto" w:fill="CCEEFF"/>
          </w:tcPr>
          <w:p>
            <w:pPr>
              <w:spacing w:after="0"/>
              <w:rPr>
                <w:sz w:val="17"/>
                <w:szCs w:val="17"/>
                <w:color w:val="auto"/>
              </w:rPr>
            </w:pPr>
          </w:p>
        </w:tc>
        <w:tc>
          <w:tcPr>
            <w:tcW w:w="84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5.</w:t>
            </w:r>
          </w:p>
        </w:tc>
        <w:tc>
          <w:tcPr>
            <w:tcW w:w="8760" w:type="dxa"/>
            <w:vAlign w:val="bottom"/>
            <w:gridSpan w:val="19"/>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Other Information</w:t>
            </w:r>
          </w:p>
        </w:tc>
        <w:tc>
          <w:tcPr>
            <w:tcW w:w="880" w:type="dxa"/>
            <w:vAlign w:val="bottom"/>
            <w:gridSpan w:val="5"/>
            <w:shd w:val="clear" w:color="auto" w:fill="CCEEFF"/>
          </w:tcPr>
          <w:p>
            <w:pPr>
              <w:jc w:val="center"/>
              <w:ind w:right="20"/>
              <w:spacing w:after="0" w:line="202" w:lineRule="exact"/>
              <w:rPr>
                <w:sz w:val="20"/>
                <w:szCs w:val="20"/>
                <w:color w:val="auto"/>
              </w:rPr>
            </w:pPr>
            <w:r>
              <w:rPr>
                <w:rFonts w:ascii="Times New Roman" w:cs="Times New Roman" w:eastAsia="Times New Roman" w:hAnsi="Times New Roman"/>
                <w:sz w:val="18"/>
                <w:szCs w:val="18"/>
                <w:color w:val="0000FF"/>
                <w:w w:val="99"/>
              </w:rPr>
              <w:t>40</w:t>
            </w:r>
          </w:p>
        </w:tc>
      </w:tr>
      <w:tr>
        <w:trPr>
          <w:trHeight w:val="61"/>
        </w:trPr>
        <w:tc>
          <w:tcPr>
            <w:tcW w:w="5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r>
      <w:tr>
        <w:trPr>
          <w:trHeight w:val="203"/>
        </w:trPr>
        <w:tc>
          <w:tcPr>
            <w:tcW w:w="540" w:type="dxa"/>
            <w:vAlign w:val="bottom"/>
          </w:tcPr>
          <w:p>
            <w:pPr>
              <w:spacing w:after="0"/>
              <w:rPr>
                <w:sz w:val="17"/>
                <w:szCs w:val="17"/>
                <w:color w:val="auto"/>
              </w:rPr>
            </w:pPr>
          </w:p>
        </w:tc>
        <w:tc>
          <w:tcPr>
            <w:tcW w:w="8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0000FF"/>
              </w:rPr>
              <w:t>Item 6.</w:t>
            </w:r>
          </w:p>
        </w:tc>
        <w:tc>
          <w:tcPr>
            <w:tcW w:w="8760" w:type="dxa"/>
            <w:vAlign w:val="bottom"/>
            <w:gridSpan w:val="19"/>
          </w:tcPr>
          <w:p>
            <w:pPr>
              <w:ind w:left="180"/>
              <w:spacing w:after="0" w:line="202" w:lineRule="exact"/>
              <w:rPr>
                <w:sz w:val="20"/>
                <w:szCs w:val="20"/>
                <w:color w:val="auto"/>
              </w:rPr>
            </w:pPr>
            <w:r>
              <w:rPr>
                <w:rFonts w:ascii="Times New Roman" w:cs="Times New Roman" w:eastAsia="Times New Roman" w:hAnsi="Times New Roman"/>
                <w:sz w:val="18"/>
                <w:szCs w:val="18"/>
                <w:color w:val="0000FF"/>
              </w:rPr>
              <w:t>Exhibits</w:t>
            </w:r>
          </w:p>
        </w:tc>
        <w:tc>
          <w:tcPr>
            <w:tcW w:w="880" w:type="dxa"/>
            <w:vAlign w:val="bottom"/>
            <w:gridSpan w:val="5"/>
          </w:tcPr>
          <w:p>
            <w:pPr>
              <w:jc w:val="center"/>
              <w:ind w:right="20"/>
              <w:spacing w:after="0" w:line="202" w:lineRule="exact"/>
              <w:rPr>
                <w:sz w:val="20"/>
                <w:szCs w:val="20"/>
                <w:color w:val="auto"/>
              </w:rPr>
            </w:pPr>
            <w:r>
              <w:rPr>
                <w:rFonts w:ascii="Times New Roman" w:cs="Times New Roman" w:eastAsia="Times New Roman" w:hAnsi="Times New Roman"/>
                <w:sz w:val="18"/>
                <w:szCs w:val="18"/>
                <w:color w:val="0000FF"/>
                <w:w w:val="99"/>
              </w:rPr>
              <w:t>41</w:t>
            </w:r>
          </w:p>
        </w:tc>
      </w:tr>
      <w:tr>
        <w:trPr>
          <w:trHeight w:val="61"/>
        </w:trPr>
        <w:tc>
          <w:tcPr>
            <w:tcW w:w="540" w:type="dxa"/>
            <w:vAlign w:val="bottom"/>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60" w:type="dxa"/>
            <w:vAlign w:val="bottom"/>
          </w:tcPr>
          <w:p>
            <w:pPr>
              <w:spacing w:after="0"/>
              <w:rPr>
                <w:sz w:val="5"/>
                <w:szCs w:val="5"/>
                <w:color w:val="auto"/>
              </w:rPr>
            </w:pPr>
          </w:p>
        </w:tc>
      </w:tr>
      <w:tr>
        <w:trPr>
          <w:trHeight w:val="203"/>
        </w:trPr>
        <w:tc>
          <w:tcPr>
            <w:tcW w:w="1380" w:type="dxa"/>
            <w:vAlign w:val="bottom"/>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880" w:type="dxa"/>
            <w:vAlign w:val="bottom"/>
            <w:gridSpan w:val="5"/>
            <w:shd w:val="clear" w:color="auto" w:fill="CCEEFF"/>
          </w:tcPr>
          <w:p>
            <w:pPr>
              <w:jc w:val="center"/>
              <w:ind w:right="20"/>
              <w:spacing w:after="0" w:line="202" w:lineRule="exact"/>
              <w:rPr>
                <w:sz w:val="20"/>
                <w:szCs w:val="20"/>
                <w:color w:val="auto"/>
              </w:rPr>
            </w:pPr>
            <w:r>
              <w:rPr>
                <w:rFonts w:ascii="Times New Roman" w:cs="Times New Roman" w:eastAsia="Times New Roman" w:hAnsi="Times New Roman"/>
                <w:sz w:val="18"/>
                <w:szCs w:val="18"/>
                <w:color w:val="0000FF"/>
                <w:w w:val="99"/>
              </w:rPr>
              <w:t>42</w:t>
            </w:r>
          </w:p>
        </w:tc>
      </w:tr>
      <w:tr>
        <w:trPr>
          <w:trHeight w:val="61"/>
        </w:trPr>
        <w:tc>
          <w:tcPr>
            <w:tcW w:w="54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Quarterly Report on Form 10-Q (this “</w:t>
      </w:r>
      <w:r>
        <w:rPr>
          <w:rFonts w:ascii="Times New Roman" w:cs="Times New Roman" w:eastAsia="Times New Roman" w:hAnsi="Times New Roman"/>
          <w:sz w:val="18"/>
          <w:szCs w:val="18"/>
          <w:b w:val="1"/>
          <w:bCs w:val="1"/>
          <w:color w:val="auto"/>
        </w:rPr>
        <w:t>Form 10-Q</w:t>
      </w:r>
      <w:r>
        <w:rPr>
          <w:rFonts w:ascii="Times New Roman" w:cs="Times New Roman" w:eastAsia="Times New Roman" w:hAnsi="Times New Roman"/>
          <w:sz w:val="18"/>
          <w:szCs w:val="18"/>
          <w:color w:val="auto"/>
        </w:rPr>
        <w:t>”) contains “forward-looking information” and “forward-looking statements” within the meaning of United States and Canadian securities laws (together, “forward-looking statements”). All statements, other than statements of historical fact, made by the Company or its affiliates that address activities, events or developments that the Company or its affiliates expect or anticipate will or may occur in the future are forward-looking statements, including, but not limited to, statements preceded by, followed by or that include words such as “may,” “will,” “would,” “could,” “should,” “believes,” “assumes,” “estimates,” “projects,” “potential,” “expects,” “plans,” “intends,” “anticipates,” “targeted,” “continues,” “forecasts,” “designed,” “goal,” “progress,” or the negative of those words or other similar or comparable words.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herein are based on certain key expectations and assumptions, including, but not limited to, expectations and assumptions concerning:</w:t>
      </w:r>
    </w:p>
    <w:p>
      <w:pPr>
        <w:spacing w:after="0" w:line="162" w:lineRule="exact"/>
        <w:rPr>
          <w:sz w:val="20"/>
          <w:szCs w:val="20"/>
          <w:color w:val="auto"/>
        </w:rPr>
      </w:pPr>
    </w:p>
    <w:p>
      <w:pPr>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renew licenses and other regulatory approvals in all states and localities of our operations and planned operations on a timely basis;</w:t>
      </w:r>
    </w:p>
    <w:p>
      <w:pPr>
        <w:ind w:left="660" w:right="12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including future U.S. state and federal legislative and regulatory developments involving medical and adult use cannabis and the timing thereof;</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outlook on our expansion and growth of business and operations;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goals, business plans and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capital and obtain necessary financing to pursue our growth and business plans;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operational results and other financial and business conditions and prospects;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completion of acquisitions and other commercial transactions;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and operation of acquired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capital expenditures;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facilities, equipment, skilled labor and services needed for cannabis operations;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developments and trends in the medical and adult use cannabis industry;</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cannabis industry in the markets in which we operate or plan to operate;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medical benefits, viability, safety, efficacy, and dosing of cannabis;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medical cannabis market and the adult use cannabis market in each state; and</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general economic and financial markets.</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Forward-looking statements may relate to future financial conditions, results of operations, plans, strategies, objectives, performance or business developments. These statements speak only as at the date they are made and are based on information currently available and on the then-current expectations of the party making the statement and assumptions concerning future events, which are subject to a number of known and unknown risks, uncertainties and other factors that may cause actual results, performance or achievements to be materially different from that which was expressed or implied by such forward-looking statements, including, but not limited to, risks and uncertainties related to:</w:t>
      </w:r>
    </w:p>
    <w:p>
      <w:pPr>
        <w:spacing w:after="0" w:line="183" w:lineRule="exact"/>
        <w:rPr>
          <w:sz w:val="20"/>
          <w:szCs w:val="20"/>
          <w:color w:val="auto"/>
        </w:rPr>
      </w:pPr>
    </w:p>
    <w:p>
      <w:pPr>
        <w:ind w:left="660" w:right="2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illegality of cannabis under federal law, the U.S. federal regulatory landscape and enforcement related to medical or adult use cannabis, including political risks, civil asset forfeiture and regulation by additional regulatory authorities;</w:t>
      </w:r>
    </w:p>
    <w:p>
      <w:pPr>
        <w:ind w:left="660" w:right="72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political changes to U.S. federal, state and local laws related to medical or adult use cannabis, including political risks and regulation by additional regulatory authorities;</w:t>
      </w:r>
    </w:p>
    <w:p>
      <w:pPr>
        <w:ind w:left="660" w:hanging="328"/>
        <w:spacing w:after="0" w:line="22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economic uncertainty stemming from disruptions in U.S. and global markets, inflation, rising interest rates, and changes in consumer and business confidence;</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outstanding indebtedness and potential future indebtedness, including our ability to repay such indebtedness;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key management;</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existing and new products and potential returns or recalls of our products;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brand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forecasted demand for our products;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fraudulent activity by employees, contractors and consultants;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growth-related operational and execution risks;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negative findings in our clinical research with respect to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litigation matter with Vireo Growth Inc., formerly known as Goodness Growth Holdings, Inc;</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natural phenomena and resulting potential uninsured or under insured losses;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property will be subject to civil asset forfeiture;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structure and our resulting reliance on the performance of our subsidiaries and affiliates;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expansion-by-acquisition strategy;</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businesses and cannabis licenses in desired markets and the integration and operation of acquired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typically limited operations of businesses we acquire;</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unconventional due diligence process in the cannabis industry;</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and lease properties suitable for the cultivation, production and sale of cannabis;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limited representations and warranties of businesses we may acquire;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of businesses in developing cannabis markets;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portfolio diversification by industry or geography;</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joint ventures, strategic partnerships and alliances;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relationships with our consolidated variable interest entities;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competition and new market entrants;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synthetic alternatives to cannabis products by pharmaceutical and other companies;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immaturity of the cannabis industry and limited comparable, competitive and established industry best practices;</w:t>
      </w:r>
    </w:p>
    <w:p>
      <w:pPr>
        <w:spacing w:after="0" w:line="22"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reliance on third-party suppliers, service providers, contractors and manufacturers, and any significant interruption of these relationships, including negative changes to quality, availability, pricing, trade policy and other economics;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trade policy, including the imposition of tariffs and the resulting consequences;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wholesale and retail price fluctuations;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opinion and perception of the cannabis industry;</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or other materials;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or volatile energy costs;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agricultural and environmental risks and the impacts of environmental regulations on the cannabis industry and environmental protections;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security risks, such as theft;</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scrutiny from Canadian authorities;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disparate state-by-state regulatory landscapes and licensing regimes for medical and adult use cannabis;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cannabis businesses face accessing and maintaining banking or financial services due to federal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difficulty of complying with various regulatory schemes;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state social equity legislation as it relates to the cannabis industry;</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high bonding and insurance costs;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changes in laws and policies governing employees and by union organizing activity;</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divestment of licenses if required by regulatory authorities;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the banking industry;</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public disclosure and governmental filings containing personal information of our officers, investors and other stakeholders;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findings by regulatory authorities that one of shareholders is unsuitable;</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directors, officers, employees or investors are barred from entering the U.S.;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and constraints on, promoting and marketing cannabis products;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U.S. Food and Drug Administration governance of the cannabis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limitations on our ability to enforce our contracts or any liens granted to us;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lack of access to federal bankruptcy protections in the U.S.;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information technology systems, the potential disclosure of personal information of patients and customers and cybersecurity risks;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software providers;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related to preserving our brand identity;</w:t>
      </w:r>
    </w:p>
    <w:p>
      <w:pPr>
        <w:spacing w:after="0" w:line="22"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due to limited intellectual property protection available for cannabis products and the potential infringement by third parties;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infringement or misappropriation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financial crimes;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receiving no return on our securities;</w:t>
      </w:r>
    </w:p>
    <w:p>
      <w:pPr>
        <w:spacing w:after="0" w:line="200" w:lineRule="exact"/>
        <w:rPr>
          <w:sz w:val="20"/>
          <w:szCs w:val="20"/>
          <w:color w:val="auto"/>
        </w:rPr>
      </w:pPr>
    </w:p>
    <w:p>
      <w:pPr>
        <w:spacing w:after="0" w:line="39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elimination of monetary liability and indemnification rights against our directors, officers and employees under British Columbia law;</w:t>
      </w:r>
    </w:p>
    <w:p>
      <w:pPr>
        <w:spacing w:after="0" w:line="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 class capital structure with Class A subordinate voting shares and Class B proportionate voting shares;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resources necessary to comply with corporate governance practices and securities rules and regulations in the U.S. and Canada;</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management’s ability to maintain effective internal controls;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dilution if we issue additional Subordinate Voting Shares or Proportionate Voting Shares;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 of sales of a substantial amount of Subordinate Voting Shares;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restrictions on our Subordinate Voting Shares;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volatility of our Subordinate Voting Shares;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limited participation in our affairs;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to not declare or pay out dividends;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voting control;</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taxation of cannabis companies in the U.S., including the impact of Section 280E of the Internal Revenue Code of 1986, as amended; and</w:t>
      </w:r>
    </w:p>
    <w:p>
      <w:pPr>
        <w:spacing w:after="0" w:line="22" w:lineRule="exact"/>
        <w:rPr>
          <w:rFonts w:ascii="Times New Roman" w:cs="Times New Roman" w:eastAsia="Times New Roman" w:hAnsi="Times New Roman"/>
          <w:sz w:val="18"/>
          <w:szCs w:val="18"/>
          <w:color w:val="auto"/>
        </w:rPr>
      </w:pPr>
    </w:p>
    <w:p>
      <w:pPr>
        <w:ind w:left="660" w:hanging="328"/>
        <w:spacing w:after="0" w:line="27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the Company's Annual Report on Form 10-K for the fiscal year ended December 31, 2024 filed with the U.S. Securities and Exchange Commission on February 27, 2025, as more particularly described under the heading “Item 1A. Risk Factors” therein.</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believe that the expectations and assumptions on which forward-looking statements are based are reasonable at the time made, undue reliance should not be placed on the forward-looking statements, because no assurance can be given that they will prove to be correct. Forward-looking statements address future events and conditions, and thus involve inherent risks and uncertainties. Readers are cautioned that the above list of cautionary statements is not exhaustive.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cannabis industry involves risks and uncertainties that are subject to change based on various factors. Certain forward-looking statements contained herein concerning the cannabis industry and our general expectations concerning the cannabis industry are based on estimates prepared by us using data from publicly available governmental sources as well as from market research and industry analysis and on assumptions based on data and knowledge of the cannabis industry. Such data is inherently imprecise.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Consequently, all forward-looking statements made in this Form 10-Q and our other documents are qualified by such cautionary statements and there can be no assurance that the anticipated results or developments will actually be realized or, even if realized, that they will have the expected consequences to or effects on us. We do not undertake any obligation to update or revise any forward-looking statements, whether as a result of new information, future events or otherwise, other than as required under applicable securities legislation.</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7"/>
                <w:szCs w:val="17"/>
                <w:color w:val="auto"/>
              </w:rPr>
            </w:pP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3"/>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8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87,796</w:t>
            </w:r>
          </w:p>
        </w:tc>
      </w:tr>
      <w:tr>
        <w:trPr>
          <w:trHeight w:val="24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40,264</w:t>
            </w:r>
          </w:p>
        </w:tc>
      </w:tr>
      <w:tr>
        <w:trPr>
          <w:trHeight w:val="40"/>
        </w:trPr>
        <w:tc>
          <w:tcPr>
            <w:tcW w:w="8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Held for Sale Assets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32,150</w:t>
            </w:r>
          </w:p>
        </w:tc>
      </w:tr>
      <w:tr>
        <w:trPr>
          <w:trHeight w:val="24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184,456</w:t>
            </w:r>
          </w:p>
        </w:tc>
      </w:tr>
      <w:tr>
        <w:trPr>
          <w:trHeight w:val="41"/>
        </w:trPr>
        <w:tc>
          <w:tcPr>
            <w:tcW w:w="8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3"/>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12,843</w:t>
            </w:r>
          </w:p>
        </w:tc>
      </w:tr>
      <w:tr>
        <w:trPr>
          <w:trHeight w:val="196"/>
        </w:trPr>
        <w:tc>
          <w:tcPr>
            <w:tcW w:w="8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63"/>
        </w:trPr>
        <w:tc>
          <w:tcPr>
            <w:tcW w:w="82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357,509</w:t>
            </w:r>
          </w:p>
        </w:tc>
      </w:tr>
      <w:tr>
        <w:trPr>
          <w:trHeight w:val="216"/>
        </w:trPr>
        <w:tc>
          <w:tcPr>
            <w:tcW w:w="8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64"/>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537,964</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99,915</w:t>
            </w:r>
          </w:p>
        </w:tc>
      </w:tr>
      <w:tr>
        <w:trPr>
          <w:trHeight w:val="41"/>
        </w:trPr>
        <w:tc>
          <w:tcPr>
            <w:tcW w:w="8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717,260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734,005</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246,230</w:t>
            </w:r>
          </w:p>
        </w:tc>
      </w:tr>
      <w:tr>
        <w:trPr>
          <w:trHeight w:val="40"/>
        </w:trPr>
        <w:tc>
          <w:tcPr>
            <w:tcW w:w="8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4"/>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13,333</w:t>
            </w:r>
          </w:p>
        </w:tc>
      </w:tr>
      <w:tr>
        <w:trPr>
          <w:trHeight w:val="196"/>
        </w:trPr>
        <w:tc>
          <w:tcPr>
            <w:tcW w:w="8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30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1,968,982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1,988,956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8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64"/>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16"/>
        </w:trPr>
        <w:tc>
          <w:tcPr>
            <w:tcW w:w="8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64"/>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8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39,927</w:t>
            </w:r>
          </w:p>
        </w:tc>
      </w:tr>
      <w:tr>
        <w:trPr>
          <w:trHeight w:val="24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68,941</w:t>
            </w:r>
          </w:p>
        </w:tc>
      </w:tr>
      <w:tr>
        <w:trPr>
          <w:trHeight w:val="40"/>
        </w:trPr>
        <w:tc>
          <w:tcPr>
            <w:tcW w:w="8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Payable</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58,762</w:t>
            </w:r>
          </w:p>
        </w:tc>
      </w:tr>
      <w:tr>
        <w:trPr>
          <w:trHeight w:val="24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w:t>
            </w:r>
          </w:p>
        </w:tc>
      </w:tr>
      <w:tr>
        <w:trPr>
          <w:trHeight w:val="40"/>
        </w:trPr>
        <w:tc>
          <w:tcPr>
            <w:tcW w:w="8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Portion of Debt</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18,153</w:t>
            </w:r>
          </w:p>
        </w:tc>
      </w:tr>
      <w:tr>
        <w:trPr>
          <w:trHeight w:val="24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Consideration Payable</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40"/>
        </w:trPr>
        <w:tc>
          <w:tcPr>
            <w:tcW w:w="82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96"/>
        </w:trPr>
        <w:tc>
          <w:tcPr>
            <w:tcW w:w="8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43"/>
        </w:trPr>
        <w:tc>
          <w:tcPr>
            <w:tcW w:w="8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197,968</w:t>
            </w:r>
          </w:p>
        </w:tc>
      </w:tr>
      <w:tr>
        <w:trPr>
          <w:trHeight w:val="40"/>
        </w:trPr>
        <w:tc>
          <w:tcPr>
            <w:tcW w:w="82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96"/>
        </w:trPr>
        <w:tc>
          <w:tcPr>
            <w:tcW w:w="8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8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Debt, net of Current Portion</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395,696</w:t>
            </w:r>
          </w:p>
        </w:tc>
      </w:tr>
      <w:tr>
        <w:trPr>
          <w:trHeight w:val="24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97,884</w:t>
            </w:r>
          </w:p>
        </w:tc>
      </w:tr>
      <w:tr>
        <w:trPr>
          <w:trHeight w:val="41"/>
        </w:trPr>
        <w:tc>
          <w:tcPr>
            <w:tcW w:w="8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Uncertain Tax Positions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270,579</w:t>
            </w:r>
          </w:p>
        </w:tc>
      </w:tr>
      <w:tr>
        <w:trPr>
          <w:trHeight w:val="24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74,099</w:t>
            </w:r>
          </w:p>
        </w:tc>
      </w:tr>
      <w:tr>
        <w:trPr>
          <w:trHeight w:val="41"/>
        </w:trPr>
        <w:tc>
          <w:tcPr>
            <w:tcW w:w="8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3"/>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r>
      <w:tr>
        <w:trPr>
          <w:trHeight w:val="196"/>
        </w:trPr>
        <w:tc>
          <w:tcPr>
            <w:tcW w:w="8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84"/>
        </w:trPr>
        <w:tc>
          <w:tcPr>
            <w:tcW w:w="82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859,734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840,169</w:t>
            </w:r>
          </w:p>
        </w:tc>
      </w:tr>
      <w:tr>
        <w:trPr>
          <w:trHeight w:val="196"/>
        </w:trPr>
        <w:tc>
          <w:tcPr>
            <w:tcW w:w="8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84"/>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1,027,378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1,038,137</w:t>
            </w:r>
          </w:p>
        </w:tc>
      </w:tr>
      <w:tr>
        <w:trPr>
          <w:trHeight w:val="196"/>
        </w:trPr>
        <w:tc>
          <w:tcPr>
            <w:tcW w:w="8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64"/>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943,381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952,174</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r>
      <w:tr>
        <w:trPr>
          <w:trHeight w:val="41"/>
        </w:trPr>
        <w:tc>
          <w:tcPr>
            <w:tcW w:w="82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96"/>
        </w:trPr>
        <w:tc>
          <w:tcPr>
            <w:tcW w:w="8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77"/>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1,968,982</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1,988,956</w:t>
            </w:r>
          </w:p>
        </w:tc>
      </w:tr>
      <w:tr>
        <w:trPr>
          <w:trHeight w:val="27"/>
        </w:trPr>
        <w:tc>
          <w:tcPr>
            <w:tcW w:w="8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ectPr>
          <w:pgSz w:w="11900" w:h="16838" w:orient="portrait"/>
          <w:cols w:equalWidth="0" w:num="1">
            <w:col w:w="11240"/>
          </w:cols>
          <w:pgMar w:left="320" w:top="297" w:right="339" w:bottom="38"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38"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Operations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r>
      <w:tr>
        <w:trPr>
          <w:trHeight w:val="40"/>
        </w:trPr>
        <w:tc>
          <w:tcPr>
            <w:tcW w:w="78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7"/>
        </w:trPr>
        <w:tc>
          <w:tcPr>
            <w:tcW w:w="7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1"/>
        </w:trPr>
        <w:tc>
          <w:tcPr>
            <w:tcW w:w="78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57"/>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221,306</w:t>
            </w: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108,346</w:t>
            </w:r>
          </w:p>
        </w:tc>
      </w:tr>
      <w:tr>
        <w:trPr>
          <w:trHeight w:val="40"/>
        </w:trPr>
        <w:tc>
          <w:tcPr>
            <w:tcW w:w="78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96"/>
        </w:trPr>
        <w:tc>
          <w:tcPr>
            <w:tcW w:w="7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112,960</w:t>
            </w:r>
          </w:p>
        </w:tc>
      </w:tr>
      <w:tr>
        <w:trPr>
          <w:trHeight w:val="41"/>
        </w:trPr>
        <w:tc>
          <w:tcPr>
            <w:tcW w:w="78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96"/>
        </w:trPr>
        <w:tc>
          <w:tcPr>
            <w:tcW w:w="7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90,289</w:t>
            </w:r>
          </w:p>
        </w:tc>
      </w:tr>
      <w:tr>
        <w:trPr>
          <w:trHeight w:val="40"/>
        </w:trPr>
        <w:tc>
          <w:tcPr>
            <w:tcW w:w="78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96"/>
        </w:trPr>
        <w:tc>
          <w:tcPr>
            <w:tcW w:w="7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22,671</w:t>
            </w:r>
          </w:p>
        </w:tc>
      </w:tr>
      <w:tr>
        <w:trPr>
          <w:trHeight w:val="40"/>
        </w:trPr>
        <w:tc>
          <w:tcPr>
            <w:tcW w:w="78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96"/>
        </w:trPr>
        <w:tc>
          <w:tcPr>
            <w:tcW w:w="7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41"/>
        </w:trPr>
        <w:tc>
          <w:tcPr>
            <w:tcW w:w="7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Deconsolidation</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7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(15,114)</w:t>
            </w:r>
          </w:p>
        </w:tc>
      </w:tr>
      <w:tr>
        <w:trPr>
          <w:trHeight w:val="40"/>
        </w:trPr>
        <w:tc>
          <w:tcPr>
            <w:tcW w:w="7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84"/>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196"/>
        </w:trPr>
        <w:tc>
          <w:tcPr>
            <w:tcW w:w="78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84"/>
        </w:trPr>
        <w:tc>
          <w:tcPr>
            <w:tcW w:w="7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1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(16,016)</w:t>
            </w:r>
          </w:p>
        </w:tc>
      </w:tr>
      <w:tr>
        <w:trPr>
          <w:trHeight w:val="196"/>
        </w:trPr>
        <w:tc>
          <w:tcPr>
            <w:tcW w:w="78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64"/>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w:t>
            </w:r>
          </w:p>
        </w:tc>
      </w:tr>
      <w:tr>
        <w:trPr>
          <w:trHeight w:val="216"/>
        </w:trPr>
        <w:tc>
          <w:tcPr>
            <w:tcW w:w="7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8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w:t>
            </w:r>
          </w:p>
        </w:tc>
      </w:tr>
      <w:tr>
        <w:trPr>
          <w:trHeight w:val="196"/>
        </w:trPr>
        <w:tc>
          <w:tcPr>
            <w:tcW w:w="78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302"/>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Verano Holdings Corp. &amp; Subsidiaries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6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 basic &amp; diluted</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7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&amp; Diluted – weighted average shares outstanding</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359,145,607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344,083,000</w:t>
            </w:r>
          </w:p>
        </w:tc>
      </w:tr>
      <w:tr>
        <w:trPr>
          <w:trHeight w:val="40"/>
        </w:trPr>
        <w:tc>
          <w:tcPr>
            <w:tcW w:w="7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2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97"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Changes in Shareholders' Equity</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040" w:type="dxa"/>
            <w:vAlign w:val="bottom"/>
          </w:tcPr>
          <w:p>
            <w:pPr>
              <w:spacing w:after="0"/>
              <w:rPr>
                <w:sz w:val="15"/>
                <w:szCs w:val="15"/>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Subordinate Voting</w:t>
            </w:r>
          </w:p>
        </w:tc>
        <w:tc>
          <w:tcPr>
            <w:tcW w:w="26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4"/>
        </w:trPr>
        <w:tc>
          <w:tcPr>
            <w:tcW w:w="304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120" w:type="dxa"/>
            <w:vAlign w:val="bottom"/>
          </w:tcPr>
          <w:p>
            <w:pPr>
              <w:spacing w:after="0"/>
              <w:rPr>
                <w:sz w:val="17"/>
                <w:szCs w:val="17"/>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80" w:type="dxa"/>
            <w:vAlign w:val="bottom"/>
          </w:tcPr>
          <w:p>
            <w:pPr>
              <w:spacing w:after="0"/>
              <w:rPr>
                <w:sz w:val="17"/>
                <w:szCs w:val="17"/>
                <w:color w:val="auto"/>
              </w:rPr>
            </w:pPr>
          </w:p>
        </w:tc>
        <w:tc>
          <w:tcPr>
            <w:tcW w:w="10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0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3"/>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2024</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344,074,096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1,681,840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(441,747)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1,240,080</w:t>
            </w:r>
          </w:p>
        </w:tc>
      </w:tr>
      <w:tr>
        <w:trPr>
          <w:trHeight w:val="270"/>
        </w:trPr>
        <w:tc>
          <w:tcPr>
            <w:tcW w:w="3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09"/>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57,872</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3,643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3,643</w:t>
            </w:r>
          </w:p>
        </w:tc>
      </w:tr>
      <w:tr>
        <w:trPr>
          <w:trHeight w:val="270"/>
        </w:trPr>
        <w:tc>
          <w:tcPr>
            <w:tcW w:w="3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09"/>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70"/>
        </w:trPr>
        <w:tc>
          <w:tcPr>
            <w:tcW w:w="3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19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consideration &amp; other adjustments to</w:t>
            </w: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05"/>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accounting</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31,181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3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(4,822)</w:t>
            </w:r>
          </w:p>
        </w:tc>
      </w:tr>
      <w:tr>
        <w:trPr>
          <w:trHeight w:val="250"/>
        </w:trPr>
        <w:tc>
          <w:tcPr>
            <w:tcW w:w="304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r>
      <w:tr>
        <w:trPr>
          <w:trHeight w:val="24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344,163,149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1,685,483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(446,569)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1,238,916</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62"/>
        </w:trPr>
        <w:tc>
          <w:tcPr>
            <w:tcW w:w="3040" w:type="dxa"/>
            <w:vAlign w:val="bottom"/>
          </w:tcPr>
          <w:p>
            <w:pPr>
              <w:spacing w:after="0"/>
              <w:rPr>
                <w:sz w:val="14"/>
                <w:szCs w:val="14"/>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Subordinate Voting</w:t>
            </w:r>
          </w:p>
        </w:tc>
        <w:tc>
          <w:tcPr>
            <w:tcW w:w="26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17"/>
        </w:trPr>
        <w:tc>
          <w:tcPr>
            <w:tcW w:w="304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80" w:type="dxa"/>
            <w:vAlign w:val="bottom"/>
          </w:tcPr>
          <w:p>
            <w:pPr>
              <w:spacing w:after="0"/>
              <w:rPr>
                <w:sz w:val="18"/>
                <w:szCs w:val="18"/>
                <w:color w:val="auto"/>
              </w:rPr>
            </w:pPr>
          </w:p>
        </w:tc>
        <w:tc>
          <w:tcPr>
            <w:tcW w:w="10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0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3"/>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2025</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358,747,290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1,735,775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(783,606)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950,819</w:t>
            </w:r>
          </w:p>
        </w:tc>
      </w:tr>
      <w:tr>
        <w:trPr>
          <w:trHeight w:val="216"/>
        </w:trPr>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9"/>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971,028</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2,722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w:t>
            </w:r>
          </w:p>
        </w:tc>
      </w:tr>
      <w:tr>
        <w:trPr>
          <w:trHeight w:val="216"/>
        </w:trPr>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paid to non-controlling interest</w:t>
            </w: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05"/>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holders</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w:t>
            </w:r>
          </w:p>
        </w:tc>
      </w:tr>
      <w:tr>
        <w:trPr>
          <w:trHeight w:val="216"/>
        </w:trPr>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 adjustment for change in</w:t>
            </w: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05"/>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ownership</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w:t>
            </w:r>
          </w:p>
        </w:tc>
      </w:tr>
      <w:tr>
        <w:trPr>
          <w:trHeight w:val="216"/>
        </w:trPr>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(11,515)</w:t>
            </w:r>
          </w:p>
        </w:tc>
      </w:tr>
      <w:tr>
        <w:trPr>
          <w:trHeight w:val="196"/>
        </w:trPr>
        <w:tc>
          <w:tcPr>
            <w:tcW w:w="304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55"/>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359,718,318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1,738,497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(795,121)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941,604</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Cash Flows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OPERATING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Verano Holdings Corp. and Subsidiaries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(11,515)</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(4,822)</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2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35,552</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Right-of-use assets amortization</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0" w:type="dxa"/>
            <w:vAlign w:val="bottom"/>
          </w:tcPr>
          <w:p>
            <w:pPr>
              <w:spacing w:after="0"/>
              <w:rPr>
                <w:sz w:val="1"/>
                <w:szCs w:val="1"/>
                <w:color w:val="auto"/>
              </w:rPr>
            </w:pPr>
          </w:p>
        </w:tc>
      </w:tr>
      <w:tr>
        <w:trPr>
          <w:trHeight w:val="224"/>
        </w:trPr>
        <w:tc>
          <w:tcPr>
            <w:tcW w:w="82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Loss on disposal of property, plant and equipment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Gain on deconsolidation</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82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Stock based compensation</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3,928</w:t>
            </w:r>
          </w:p>
        </w:tc>
        <w:tc>
          <w:tcPr>
            <w:tcW w:w="0" w:type="dxa"/>
            <w:vAlign w:val="bottom"/>
          </w:tcPr>
          <w:p>
            <w:pPr>
              <w:spacing w:after="0"/>
              <w:rPr>
                <w:sz w:val="1"/>
                <w:szCs w:val="1"/>
                <w:color w:val="auto"/>
              </w:rPr>
            </w:pPr>
          </w:p>
        </w:tc>
      </w:tr>
      <w:tr>
        <w:trPr>
          <w:trHeight w:val="224"/>
        </w:trPr>
        <w:tc>
          <w:tcPr>
            <w:tcW w:w="82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(3,232)</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Inventory</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(9,998)</w:t>
            </w:r>
          </w:p>
        </w:tc>
        <w:tc>
          <w:tcPr>
            <w:tcW w:w="0" w:type="dxa"/>
            <w:vAlign w:val="bottom"/>
          </w:tcPr>
          <w:p>
            <w:pPr>
              <w:spacing w:after="0"/>
              <w:rPr>
                <w:sz w:val="1"/>
                <w:szCs w:val="1"/>
                <w:color w:val="auto"/>
              </w:rPr>
            </w:pPr>
          </w:p>
        </w:tc>
      </w:tr>
      <w:tr>
        <w:trPr>
          <w:trHeight w:val="224"/>
        </w:trPr>
        <w:tc>
          <w:tcPr>
            <w:tcW w:w="82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(4,031)</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Income tax payable</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9,597</w:t>
            </w:r>
          </w:p>
        </w:tc>
        <w:tc>
          <w:tcPr>
            <w:tcW w:w="0" w:type="dxa"/>
            <w:vAlign w:val="bottom"/>
          </w:tcPr>
          <w:p>
            <w:pPr>
              <w:spacing w:after="0"/>
              <w:rPr>
                <w:sz w:val="1"/>
                <w:szCs w:val="1"/>
                <w:color w:val="auto"/>
              </w:rPr>
            </w:pPr>
          </w:p>
        </w:tc>
      </w:tr>
      <w:tr>
        <w:trPr>
          <w:trHeight w:val="224"/>
        </w:trPr>
        <w:tc>
          <w:tcPr>
            <w:tcW w:w="82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Uncertain tax positions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w:t>
            </w:r>
          </w:p>
        </w:tc>
        <w:tc>
          <w:tcPr>
            <w:tcW w:w="0" w:type="dxa"/>
            <w:vAlign w:val="bottom"/>
          </w:tcPr>
          <w:p>
            <w:pPr>
              <w:spacing w:after="0"/>
              <w:rPr>
                <w:sz w:val="1"/>
                <w:szCs w:val="1"/>
                <w:color w:val="auto"/>
              </w:rPr>
            </w:pPr>
          </w:p>
        </w:tc>
      </w:tr>
      <w:tr>
        <w:trPr>
          <w:trHeight w:val="223"/>
        </w:trPr>
        <w:tc>
          <w:tcPr>
            <w:tcW w:w="82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assets, net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10,065</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liabilities, net</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(8,328)</w:t>
            </w:r>
          </w:p>
        </w:tc>
        <w:tc>
          <w:tcPr>
            <w:tcW w:w="0" w:type="dxa"/>
            <w:vAlign w:val="bottom"/>
          </w:tcPr>
          <w:p>
            <w:pPr>
              <w:spacing w:after="0"/>
              <w:rPr>
                <w:sz w:val="1"/>
                <w:szCs w:val="1"/>
                <w:color w:val="auto"/>
              </w:rPr>
            </w:pPr>
          </w:p>
        </w:tc>
      </w:tr>
      <w:tr>
        <w:trPr>
          <w:trHeight w:val="217"/>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31,041</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(9,699)</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disposal of assets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deconsolidation</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(9,699)</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deferred acquisition price payable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repayments of debt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issuance costs paid</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paid to non-controlling interest holders</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19,024</w:t>
            </w:r>
          </w:p>
        </w:tc>
        <w:tc>
          <w:tcPr>
            <w:tcW w:w="0" w:type="dxa"/>
            <w:vAlign w:val="bottom"/>
          </w:tcPr>
          <w:p>
            <w:pPr>
              <w:spacing w:after="0"/>
              <w:rPr>
                <w:sz w:val="1"/>
                <w:szCs w:val="1"/>
                <w:color w:val="auto"/>
              </w:rPr>
            </w:pPr>
          </w:p>
        </w:tc>
      </w:tr>
      <w:tr>
        <w:trPr>
          <w:trHeight w:val="217"/>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Effects of exchange rate fluctuations on cash and cash equivalents</w:t>
            </w: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174,760</w:t>
            </w:r>
          </w:p>
        </w:tc>
        <w:tc>
          <w:tcPr>
            <w:tcW w:w="0" w:type="dxa"/>
            <w:vAlign w:val="bottom"/>
          </w:tcPr>
          <w:p>
            <w:pPr>
              <w:spacing w:after="0"/>
              <w:rPr>
                <w:sz w:val="1"/>
                <w:szCs w:val="1"/>
                <w:color w:val="auto"/>
              </w:rPr>
            </w:pPr>
          </w:p>
        </w:tc>
      </w:tr>
      <w:tr>
        <w:trPr>
          <w:trHeight w:val="254"/>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84,220</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193,799</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paid,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2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extinguishment in connection with deconsolidation</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7" w:right="339" w:bottom="326" w:gutter="0" w:footer="0" w:header="0"/>
        </w:sectPr>
      </w:pP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326"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 AND BASIS OF PRESENTATION</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13"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stated or the context requires otherwise, references herein to the “Company,” “Verano,” “we,” “us,” and “our” mean Verano Holdings Corp. and its direct and indirect subsidiaries, and controlled and managed entities.</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vertically integrated cannabis operator that focuses on limited-licensed markets in the United States (“U.S.”). As a vertically integrated operator, the Company owns, operates, manages, controls, and/or has licensing, consulting or other commercial agreements with cultivation, processing, and retail licenses across 13 state markets (Arizona, Connecticut, Florida, Illinois, Maryland, Massachusetts, Michigan, Nevada, New Jersey, Ohio, Pennsylvania, Virginia and West Virginia).</w:t>
      </w:r>
    </w:p>
    <w:p>
      <w:pPr>
        <w:spacing w:after="0" w:line="17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also conducts pre-licensing activities in other markets. In these markets, the Company has either applied for licenses, or plans on applying for licenses, but does not currently operate or manage any cultivation, processing, or retail licenses.</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Class A subordinate voting shares, no par value (the “Subordinate Voting Shares”) are listed on Cboe Canada (“Cboe”) under the ticker symbol “VRNO” and are quoted in the United States on the OTCQX marketplace operated by the OTC Market Group, under the ticker symbol “VRNOF”.</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corporate headquarters is located at 224 W Hill Street, Suite 400, Chicago, Illinois 60610.</w:t>
      </w:r>
    </w:p>
    <w:p>
      <w:pPr>
        <w:spacing w:after="0" w:line="221"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accompanying Unaudited Interim Condensed Consolidated Financial Statements have been prepared in accordance with accounting principles generally accepted in the United States (“GAAP”) for interim financial information and in accordance with the rules and regulations of the U.S. Securities and Exchange Commission (“SEC”). Accordingly, certain information and disclosures required by GAAP for annual financial statements have been omitted. In the opinion of management, all adjustments, consisting of normal recurring adjustments, considered necessary for a fair presentation have been included. Unless otherwise indicated, all references to “$” or “US$” in this Form 10-Q refer to United States dollars, and all references to “C$” refer to Canadian dollars. These Unaudited Interim Condensed Consolidated Financial Statements should be read in conjunction with the Company's audited consolidated financial statements and notes thereto as of and for the year ended December 31, 2024 (the “2024 Annual Audited Financials”), included in the Company’s Annual Report on Form 10-K filed with the SEC on February 27, 2025 (the “Form 10-K”). Certain prior year amounts have been reclassified to conform to the current year's presentation, which the Company does not consider to be material. The accompanying Unaudited Interim Condensed Consolidated Financial Statements include the accounts of Verano Holdings Corp. and its direct and indirect subsidiaries as well as the accounts of any entities over which the Company has a controlling financial interest in accordance with Accounting Standards Codification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preparation of the Company’s Unaudited Interim Condensed Consolidated Financial Statements requires management to make estimates and assumptions that impact the reported amounts of assets, liabilities, revenue and expenses and the disclosure of assets and liabilities in such financial statements and in the accompanying notes. Actual results may differ materially from these estimates. The results of operations for the three months ended March 31, 2025 are not necessarily indicative of the results to be expected for the 2025 full year or any future periods. The accompanying consolidated balance sheet as of December 31, 2024 has been derived from the audited consolidated balance sheet as of December 31, 2024 contained in the 2024 Annual Audited Financials included in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-5909310</wp:posOffset>
            </wp:positionV>
            <wp:extent cx="70034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OVERVIEW AND BASIS OF PRESENTATION </w:t>
      </w:r>
      <w:r>
        <w:rPr>
          <w:rFonts w:ascii="Times New Roman" w:cs="Times New Roman" w:eastAsia="Times New Roman" w:hAnsi="Times New Roman"/>
          <w:sz w:val="18"/>
          <w:szCs w:val="18"/>
          <w:i w:val="1"/>
          <w:iCs w:val="1"/>
          <w:color w:val="auto"/>
        </w:rPr>
        <w:t>(Continued)</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70"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Consolidation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Unaudited Interim Condensed Consolidated Financial Statements have been prepared in accordance with GAAP and include the accounts of the Company and its subsidiaries, as well as the accounts of any entities over which the Company has a controlling financial interest in accordance with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All transactions and balances between these entities have been eliminated upon consolidation.</w:t>
      </w:r>
    </w:p>
    <w:p>
      <w:pPr>
        <w:spacing w:after="0" w:line="171"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7" w:lineRule="exact"/>
        <w:rPr>
          <w:rFonts w:ascii="Times New Roman" w:cs="Times New Roman" w:eastAsia="Times New Roman" w:hAnsi="Times New Roman"/>
          <w:sz w:val="18"/>
          <w:szCs w:val="18"/>
          <w:b w:val="1"/>
          <w:bCs w:val="1"/>
          <w:color w:val="auto"/>
        </w:rPr>
      </w:pPr>
    </w:p>
    <w:p>
      <w:pPr>
        <w:ind w:left="660"/>
        <w:spacing w:after="0" w:line="2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There have been no changes to the Company’s significant accounting policies as described in </w:t>
      </w:r>
      <w:r>
        <w:rPr>
          <w:rFonts w:ascii="Times New Roman" w:cs="Times New Roman" w:eastAsia="Times New Roman" w:hAnsi="Times New Roman"/>
          <w:sz w:val="18"/>
          <w:szCs w:val="18"/>
          <w:i w:val="1"/>
          <w:iCs w:val="1"/>
          <w:color w:val="auto"/>
        </w:rPr>
        <w:t>Note 2 - Significant Accounting Policies</w:t>
      </w:r>
      <w:r>
        <w:rPr>
          <w:rFonts w:ascii="Times New Roman" w:cs="Times New Roman" w:eastAsia="Times New Roman" w:hAnsi="Times New Roman"/>
          <w:sz w:val="18"/>
          <w:szCs w:val="18"/>
          <w:color w:val="auto"/>
        </w:rPr>
        <w:t xml:space="preserve"> to the 2024 Annual Audited Financials included in the Form 10-K.</w:t>
      </w:r>
    </w:p>
    <w:p>
      <w:pPr>
        <w:spacing w:after="0" w:line="156"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earnings (loss) per share is calculated using the treasury stock method, by dividing the net earnings (losses) attributable to shareholders by the weighted average number of shares (including the Company's Class B proportionate voting shares, no par value (the “Proportionate Voting Shares”) on an as converted to Subordinate Voting Shares basis of 100 Subordinate Voting Shares to one Proportionate Voting Share, if applicable) outstanding during each of the periods presented. Contingently issuable shares (including shares held in escrow) are not considered outstanding shares and consequently are not included in the earnings (loss) per share calculations. Diluted income per share is calculated by adjusting the weighted average number of shares outstanding to assume conversion of all dilutive potential shares.</w:t>
      </w:r>
    </w:p>
    <w:p>
      <w:pPr>
        <w:spacing w:after="0" w:line="187"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diluted income (loss) per share, the Company assumes that any proceeds from the exercise of dilutive share options would be used to repurchase shares at the average market price during the period. The diluted income (loss) per share calculation excludes any potential conversion of share options and convertible debt, if any, that would increase earnings per share or decrease loss per share. No potentially dilutive share equivalents were included in the computation of diluted income (loss) per share for the three months ended March 31, 2025 and 2024 because their impact would have been anti-dilutive.</w:t>
      </w:r>
    </w:p>
    <w:p>
      <w:pPr>
        <w:spacing w:after="0" w:line="179"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Standards</w:t>
      </w:r>
    </w:p>
    <w:p>
      <w:pPr>
        <w:spacing w:after="0" w:line="227"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November 2024, the Financial Accounting Standards Board issued Accounting Standards Update 2024-03, </w:t>
      </w:r>
      <w:r>
        <w:rPr>
          <w:rFonts w:ascii="Times New Roman" w:cs="Times New Roman" w:eastAsia="Times New Roman" w:hAnsi="Times New Roman"/>
          <w:sz w:val="18"/>
          <w:szCs w:val="18"/>
          <w:i w:val="1"/>
          <w:iCs w:val="1"/>
          <w:color w:val="auto"/>
        </w:rPr>
        <w:t>Income Statement-Reporting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Comprehensive Income-Expense Disaggregation Disclosures </w:t>
      </w:r>
      <w:r>
        <w:rPr>
          <w:rFonts w:ascii="Times New Roman" w:cs="Times New Roman" w:eastAsia="Times New Roman" w:hAnsi="Times New Roman"/>
          <w:sz w:val="18"/>
          <w:szCs w:val="18"/>
          <w:color w:val="auto"/>
        </w:rPr>
        <w:t>(“ASU 2024-03”): Disaggregation of Income Statement Expenses (as clarified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2025-01). This guidance focuses on the disaggregation of income statement expenses. ASU 2024-03 requires entities to provide more detailed disclosures about the components of significant expense categories, enhancing the transparency and decision-usefulness of financial statements. The objective is to provide users with a clearer understanding of the nature and variability of expenses reported in the income statement. The standard is effective for annual periods of fiscal years beginning after December 15, 2026, and interim periods of fiscal years beginning after December 15, 2027 with early adoption permitted. The Company is currently assessing the impact of ASU 2024-03 on our financial statement disclosures. While we anticipate that the adoption of this standard will require additional disclosures, we do not expect it to have a material impact on our financial position or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-5481955</wp:posOffset>
            </wp:positionV>
            <wp:extent cx="70034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inventory consists of the following as of March 31, 2025 and December 31,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9"/>
                <w:szCs w:val="19"/>
                <w:color w:val="auto"/>
              </w:rPr>
            </w:pPr>
          </w:p>
        </w:tc>
        <w:tc>
          <w:tcPr>
            <w:tcW w:w="2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135,185</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3540" w:type="dxa"/>
            <w:vAlign w:val="bottom"/>
          </w:tcPr>
          <w:p>
            <w:pPr>
              <w:spacing w:after="0"/>
              <w:rPr>
                <w:sz w:val="3"/>
                <w:szCs w:val="3"/>
                <w:color w:val="auto"/>
              </w:rPr>
            </w:pPr>
          </w:p>
        </w:tc>
        <w:tc>
          <w:tcPr>
            <w:tcW w:w="3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Packaging and Miscellaneous</w:t>
            </w:r>
          </w:p>
        </w:tc>
        <w:tc>
          <w:tcPr>
            <w:tcW w:w="30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10,115</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35,165</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3540" w:type="dxa"/>
            <w:vAlign w:val="bottom"/>
            <w:tcBorders>
              <w:bottom w:val="single" w:sz="8" w:color="CCEEFF"/>
            </w:tcBorders>
          </w:tcPr>
          <w:p>
            <w:pPr>
              <w:spacing w:after="0"/>
              <w:rPr>
                <w:sz w:val="3"/>
                <w:szCs w:val="3"/>
                <w:color w:val="auto"/>
              </w:rPr>
            </w:pPr>
          </w:p>
        </w:tc>
        <w:tc>
          <w:tcPr>
            <w:tcW w:w="30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3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60" w:type="dxa"/>
            <w:vAlign w:val="bottom"/>
          </w:tcPr>
          <w:p>
            <w:pPr>
              <w:spacing w:after="0"/>
              <w:rPr>
                <w:sz w:val="24"/>
                <w:szCs w:val="24"/>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Inventory</w:t>
            </w:r>
          </w:p>
        </w:tc>
        <w:tc>
          <w:tcPr>
            <w:tcW w:w="3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192,262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184,456</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080" w:type="dxa"/>
            <w:vAlign w:val="bottom"/>
            <w:vMerge w:val="restart"/>
          </w:tcPr>
          <w:p>
            <w:pPr>
              <w:jc w:val="right"/>
              <w:ind w:right="153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380" w:type="dxa"/>
            <w:vAlign w:val="bottom"/>
            <w:tcBorders>
              <w:top w:val="single" w:sz="8" w:color="auto"/>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5"/>
        </w:trPr>
        <w:tc>
          <w:tcPr>
            <w:tcW w:w="6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660" w:type="dxa"/>
            <w:vAlign w:val="bottom"/>
            <w:tcBorders>
              <w:bottom w:val="single" w:sz="8" w:color="9A9A9A"/>
            </w:tcBorders>
          </w:tcPr>
          <w:p>
            <w:pPr>
              <w:spacing w:after="0"/>
              <w:rPr>
                <w:sz w:val="11"/>
                <w:szCs w:val="11"/>
                <w:color w:val="auto"/>
              </w:rPr>
            </w:pPr>
          </w:p>
        </w:tc>
        <w:tc>
          <w:tcPr>
            <w:tcW w:w="3540" w:type="dxa"/>
            <w:vAlign w:val="bottom"/>
            <w:tcBorders>
              <w:bottom w:val="single" w:sz="8" w:color="9A9A9A"/>
            </w:tcBorders>
          </w:tcPr>
          <w:p>
            <w:pPr>
              <w:spacing w:after="0"/>
              <w:rPr>
                <w:sz w:val="11"/>
                <w:szCs w:val="11"/>
                <w:color w:val="auto"/>
              </w:rPr>
            </w:pPr>
          </w:p>
        </w:tc>
        <w:tc>
          <w:tcPr>
            <w:tcW w:w="30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and related accumulated depreciation consists of the following as of March 31, 2025 and December 31, 2024:</w:t>
      </w:r>
    </w:p>
    <w:p>
      <w:pPr>
        <w:spacing w:after="0" w:line="275"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6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6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29,032</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173,432</w:t>
            </w:r>
          </w:p>
        </w:tc>
      </w:tr>
      <w:tr>
        <w:trPr>
          <w:trHeight w:val="40"/>
        </w:trPr>
        <w:tc>
          <w:tcPr>
            <w:tcW w:w="6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6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21,326</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28,525</w:t>
            </w:r>
          </w:p>
        </w:tc>
      </w:tr>
      <w:tr>
        <w:trPr>
          <w:trHeight w:val="41"/>
        </w:trPr>
        <w:tc>
          <w:tcPr>
            <w:tcW w:w="6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6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268,836</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Tools and Equipment</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98,133</w:t>
            </w:r>
          </w:p>
        </w:tc>
      </w:tr>
      <w:tr>
        <w:trPr>
          <w:trHeight w:val="40"/>
        </w:trPr>
        <w:tc>
          <w:tcPr>
            <w:tcW w:w="6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6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w:t>
            </w:r>
          </w:p>
        </w:tc>
      </w:tr>
      <w:tr>
        <w:trPr>
          <w:trHeight w:val="28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Assets Under Construction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97,084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96,981</w:t>
            </w:r>
          </w:p>
        </w:tc>
      </w:tr>
      <w:tr>
        <w:trPr>
          <w:trHeight w:val="250"/>
        </w:trPr>
        <w:tc>
          <w:tcPr>
            <w:tcW w:w="66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725,384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720,606</w:t>
            </w:r>
          </w:p>
        </w:tc>
      </w:tr>
      <w:tr>
        <w:trPr>
          <w:trHeight w:val="40"/>
        </w:trPr>
        <w:tc>
          <w:tcPr>
            <w:tcW w:w="6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84"/>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(195,388)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(182,642)</w:t>
            </w:r>
          </w:p>
        </w:tc>
      </w:tr>
      <w:tr>
        <w:trPr>
          <w:trHeight w:val="250"/>
        </w:trPr>
        <w:tc>
          <w:tcPr>
            <w:tcW w:w="66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r>
      <w:tr>
        <w:trPr>
          <w:trHeight w:val="30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Property, Plant and Equipment,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529,996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537,964</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800" w:hanging="144"/>
        <w:spacing w:after="0"/>
        <w:tabs>
          <w:tab w:leader="none" w:pos="80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Assets under construction represent construction in progress related to facilities not yet completed or otherwise not placed in service.</w:t>
      </w:r>
    </w:p>
    <w:p>
      <w:pPr>
        <w:spacing w:after="0" w:line="20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and March 31, 2024, depreciation expense included in costs of goods sold totaled $9,896 and $8,724, respectively. For the three months ended March 31, 2025 and March 31, 2024, depreciation expense included in selling, general, and administrative expense totaled $5,121 and $4,041,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and impairment losses, if any. Intangible assets acquired in a business combination are measured at fair value as of the acquisition date. Amortization of definite life intangible assets is provided on a straight-line basis over their estimated useful lives. The estimated useful lives, residual values, and amortization methods for intangible assets are reviewed by the Company at each year end, and any changes in estimates are accounted for prospectively.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2025, intangible assets consisted of the following:</w:t>
      </w:r>
    </w:p>
    <w:p>
      <w:pPr>
        <w:spacing w:after="0" w:line="27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Licenses</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Tradenames</w:t>
            </w:r>
          </w:p>
        </w:tc>
        <w:tc>
          <w:tcPr>
            <w:tcW w:w="18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Technology</w:t>
            </w:r>
          </w:p>
        </w:tc>
        <w:tc>
          <w:tcPr>
            <w:tcW w:w="30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1"/>
        </w:trPr>
        <w:tc>
          <w:tcPr>
            <w:tcW w:w="2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2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2"/>
        </w:trPr>
        <w:tc>
          <w:tcPr>
            <w:tcW w:w="20" w:type="dxa"/>
            <w:vAlign w:val="bottom"/>
            <w:shd w:val="clear" w:color="auto" w:fill="CCEEFF"/>
          </w:tcPr>
          <w:p>
            <w:pPr>
              <w:spacing w:after="0"/>
              <w:rPr>
                <w:sz w:val="15"/>
                <w:szCs w:val="15"/>
                <w:color w:val="auto"/>
              </w:rPr>
            </w:pPr>
          </w:p>
        </w:tc>
        <w:tc>
          <w:tcPr>
            <w:tcW w:w="4060" w:type="dxa"/>
            <w:vAlign w:val="bottom"/>
            <w:gridSpan w:val="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Cost</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2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r>
      <w:tr>
        <w:trPr>
          <w:trHeight w:val="243"/>
        </w:trPr>
        <w:tc>
          <w:tcPr>
            <w:tcW w:w="20" w:type="dxa"/>
            <w:vAlign w:val="bottom"/>
          </w:tcPr>
          <w:p>
            <w:pPr>
              <w:spacing w:after="0"/>
              <w:rPr>
                <w:sz w:val="21"/>
                <w:szCs w:val="21"/>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922,358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973,012</w:t>
            </w:r>
          </w:p>
        </w:tc>
      </w:tr>
      <w:tr>
        <w:trPr>
          <w:trHeight w:val="41"/>
        </w:trPr>
        <w:tc>
          <w:tcPr>
            <w:tcW w:w="2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2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95"/>
        </w:trPr>
        <w:tc>
          <w:tcPr>
            <w:tcW w:w="20" w:type="dxa"/>
            <w:vAlign w:val="bottom"/>
            <w:tcBorders>
              <w:bottom w:val="single" w:sz="8" w:color="CCEEFF"/>
            </w:tcBorders>
            <w:shd w:val="clear" w:color="auto" w:fill="CCEEFF"/>
          </w:tcPr>
          <w:p>
            <w:pPr>
              <w:spacing w:after="0"/>
              <w:rPr>
                <w:sz w:val="24"/>
                <w:szCs w:val="24"/>
                <w:color w:val="auto"/>
              </w:rPr>
            </w:pPr>
          </w:p>
        </w:tc>
        <w:tc>
          <w:tcPr>
            <w:tcW w:w="40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922,358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973,012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406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c>
          <w:tcPr>
            <w:tcW w:w="2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r>
      <w:tr>
        <w:trPr>
          <w:trHeight w:val="243"/>
        </w:trPr>
        <w:tc>
          <w:tcPr>
            <w:tcW w:w="20" w:type="dxa"/>
            <w:vAlign w:val="bottom"/>
          </w:tcPr>
          <w:p>
            <w:pPr>
              <w:spacing w:after="0"/>
              <w:rPr>
                <w:sz w:val="21"/>
                <w:szCs w:val="21"/>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239,007</w:t>
            </w:r>
          </w:p>
        </w:tc>
      </w:tr>
      <w:tr>
        <w:trPr>
          <w:trHeight w:val="41"/>
        </w:trPr>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83"/>
        </w:trPr>
        <w:tc>
          <w:tcPr>
            <w:tcW w:w="20" w:type="dxa"/>
            <w:vAlign w:val="bottom"/>
            <w:tcBorders>
              <w:bottom w:val="single" w:sz="8" w:color="CCEEFF"/>
            </w:tcBorders>
            <w:shd w:val="clear" w:color="auto" w:fill="CCEEFF"/>
          </w:tcPr>
          <w:p>
            <w:pPr>
              <w:spacing w:after="0"/>
              <w:rPr>
                <w:sz w:val="24"/>
                <w:szCs w:val="24"/>
                <w:color w:val="auto"/>
              </w:rPr>
            </w:pPr>
          </w:p>
        </w:tc>
        <w:tc>
          <w:tcPr>
            <w:tcW w:w="40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16,745</w:t>
            </w:r>
          </w:p>
        </w:tc>
      </w:tr>
      <w:tr>
        <w:trPr>
          <w:trHeight w:val="270"/>
        </w:trPr>
        <w:tc>
          <w:tcPr>
            <w:tcW w:w="20" w:type="dxa"/>
            <w:vAlign w:val="bottom"/>
          </w:tcPr>
          <w:p>
            <w:pPr>
              <w:spacing w:after="0"/>
              <w:rPr>
                <w:sz w:val="23"/>
                <w:szCs w:val="23"/>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233,967</w:t>
            </w:r>
          </w:p>
        </w:tc>
        <w:tc>
          <w:tcPr>
            <w:tcW w:w="10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17,986</w:t>
            </w: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80" w:type="dxa"/>
            <w:vAlign w:val="bottom"/>
          </w:tcPr>
          <w:p>
            <w:pPr>
              <w:spacing w:after="0"/>
              <w:rPr>
                <w:sz w:val="23"/>
                <w:szCs w:val="23"/>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255,752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406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Net Book Value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61"/>
        </w:trPr>
        <w:tc>
          <w:tcPr>
            <w:tcW w:w="2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8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84"/>
        </w:trPr>
        <w:tc>
          <w:tcPr>
            <w:tcW w:w="20" w:type="dxa"/>
            <w:vAlign w:val="bottom"/>
            <w:tcBorders>
              <w:bottom w:val="single" w:sz="8" w:color="CCEEFF"/>
            </w:tcBorders>
            <w:shd w:val="clear" w:color="auto" w:fill="CCEEFF"/>
          </w:tcPr>
          <w:p>
            <w:pPr>
              <w:spacing w:after="0"/>
              <w:rPr>
                <w:sz w:val="24"/>
                <w:szCs w:val="24"/>
                <w:color w:val="auto"/>
              </w:rPr>
            </w:pPr>
          </w:p>
        </w:tc>
        <w:tc>
          <w:tcPr>
            <w:tcW w:w="40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703,780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734,005</w:t>
            </w:r>
          </w:p>
        </w:tc>
      </w:tr>
      <w:tr>
        <w:trPr>
          <w:trHeight w:val="270"/>
        </w:trPr>
        <w:tc>
          <w:tcPr>
            <w:tcW w:w="20" w:type="dxa"/>
            <w:vAlign w:val="bottom"/>
          </w:tcPr>
          <w:p>
            <w:pPr>
              <w:spacing w:after="0"/>
              <w:rPr>
                <w:sz w:val="23"/>
                <w:szCs w:val="23"/>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688,391</w:t>
            </w:r>
          </w:p>
        </w:tc>
        <w:tc>
          <w:tcPr>
            <w:tcW w:w="10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27,122</w:t>
            </w: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80" w:type="dxa"/>
            <w:vAlign w:val="bottom"/>
          </w:tcPr>
          <w:p>
            <w:pPr>
              <w:spacing w:after="0"/>
              <w:rPr>
                <w:sz w:val="23"/>
                <w:szCs w:val="23"/>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717,260</w:t>
            </w: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outlines the estimated annual amortization expense related to intangible assets as of March 31, 2025:</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4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40" w:type="dxa"/>
            <w:vAlign w:val="bottom"/>
          </w:tcPr>
          <w:p>
            <w:pPr>
              <w:spacing w:after="0"/>
              <w:rPr>
                <w:sz w:val="19"/>
                <w:szCs w:val="19"/>
                <w:color w:val="auto"/>
              </w:rPr>
            </w:pP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0" w:type="dxa"/>
            <w:vAlign w:val="bottom"/>
          </w:tcPr>
          <w:p>
            <w:pPr>
              <w:spacing w:after="0"/>
              <w:rPr>
                <w:sz w:val="1"/>
                <w:szCs w:val="1"/>
                <w:color w:val="auto"/>
              </w:rPr>
            </w:pPr>
          </w:p>
        </w:tc>
      </w:tr>
      <w:tr>
        <w:trPr>
          <w:trHeight w:val="238"/>
        </w:trPr>
        <w:tc>
          <w:tcPr>
            <w:tcW w:w="84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2025 (Remaining)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50,234</w:t>
            </w:r>
          </w:p>
        </w:tc>
        <w:tc>
          <w:tcPr>
            <w:tcW w:w="0" w:type="dxa"/>
            <w:vAlign w:val="bottom"/>
          </w:tcPr>
          <w:p>
            <w:pPr>
              <w:spacing w:after="0"/>
              <w:rPr>
                <w:sz w:val="1"/>
                <w:szCs w:val="1"/>
                <w:color w:val="auto"/>
              </w:rPr>
            </w:pPr>
          </w:p>
        </w:tc>
      </w:tr>
      <w:tr>
        <w:trPr>
          <w:trHeight w:val="243"/>
        </w:trPr>
        <w:tc>
          <w:tcPr>
            <w:tcW w:w="8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66,332</w:t>
            </w:r>
          </w:p>
        </w:tc>
        <w:tc>
          <w:tcPr>
            <w:tcW w:w="0" w:type="dxa"/>
            <w:vAlign w:val="bottom"/>
          </w:tcPr>
          <w:p>
            <w:pPr>
              <w:spacing w:after="0"/>
              <w:rPr>
                <w:sz w:val="1"/>
                <w:szCs w:val="1"/>
                <w:color w:val="auto"/>
              </w:rPr>
            </w:pPr>
          </w:p>
        </w:tc>
      </w:tr>
      <w:tr>
        <w:trPr>
          <w:trHeight w:val="40"/>
        </w:trPr>
        <w:tc>
          <w:tcPr>
            <w:tcW w:w="8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66,273</w:t>
            </w:r>
          </w:p>
        </w:tc>
        <w:tc>
          <w:tcPr>
            <w:tcW w:w="0" w:type="dxa"/>
            <w:vAlign w:val="bottom"/>
          </w:tcPr>
          <w:p>
            <w:pPr>
              <w:spacing w:after="0"/>
              <w:rPr>
                <w:sz w:val="1"/>
                <w:szCs w:val="1"/>
                <w:color w:val="auto"/>
              </w:rPr>
            </w:pPr>
          </w:p>
        </w:tc>
      </w:tr>
      <w:tr>
        <w:trPr>
          <w:trHeight w:val="243"/>
        </w:trPr>
        <w:tc>
          <w:tcPr>
            <w:tcW w:w="8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66,259</w:t>
            </w:r>
          </w:p>
        </w:tc>
        <w:tc>
          <w:tcPr>
            <w:tcW w:w="0" w:type="dxa"/>
            <w:vAlign w:val="bottom"/>
          </w:tcPr>
          <w:p>
            <w:pPr>
              <w:spacing w:after="0"/>
              <w:rPr>
                <w:sz w:val="1"/>
                <w:szCs w:val="1"/>
                <w:color w:val="auto"/>
              </w:rPr>
            </w:pPr>
          </w:p>
        </w:tc>
      </w:tr>
      <w:tr>
        <w:trPr>
          <w:trHeight w:val="40"/>
        </w:trPr>
        <w:tc>
          <w:tcPr>
            <w:tcW w:w="8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66,257</w:t>
            </w:r>
          </w:p>
        </w:tc>
        <w:tc>
          <w:tcPr>
            <w:tcW w:w="0" w:type="dxa"/>
            <w:vAlign w:val="bottom"/>
          </w:tcPr>
          <w:p>
            <w:pPr>
              <w:spacing w:after="0"/>
              <w:rPr>
                <w:sz w:val="1"/>
                <w:szCs w:val="1"/>
                <w:color w:val="auto"/>
              </w:rPr>
            </w:pPr>
          </w:p>
        </w:tc>
      </w:tr>
      <w:tr>
        <w:trPr>
          <w:trHeight w:val="243"/>
        </w:trPr>
        <w:tc>
          <w:tcPr>
            <w:tcW w:w="8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401,905</w:t>
            </w:r>
          </w:p>
        </w:tc>
        <w:tc>
          <w:tcPr>
            <w:tcW w:w="0" w:type="dxa"/>
            <w:vAlign w:val="bottom"/>
          </w:tcPr>
          <w:p>
            <w:pPr>
              <w:spacing w:after="0"/>
              <w:rPr>
                <w:sz w:val="1"/>
                <w:szCs w:val="1"/>
                <w:color w:val="auto"/>
              </w:rPr>
            </w:pPr>
          </w:p>
        </w:tc>
      </w:tr>
      <w:tr>
        <w:trPr>
          <w:trHeight w:val="40"/>
        </w:trPr>
        <w:tc>
          <w:tcPr>
            <w:tcW w:w="84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8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717,260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 for the three months ended March 31, 2025 were as follows: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2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Adjustments to</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19"/>
                <w:szCs w:val="19"/>
                <w:color w:val="auto"/>
              </w:rPr>
            </w:pPr>
          </w:p>
        </w:tc>
        <w:tc>
          <w:tcPr>
            <w:tcW w:w="146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January 1, 2025</w:t>
            </w:r>
          </w:p>
        </w:tc>
        <w:tc>
          <w:tcPr>
            <w:tcW w:w="160" w:type="dxa"/>
            <w:vAlign w:val="bottom"/>
          </w:tcPr>
          <w:p>
            <w:pPr>
              <w:spacing w:after="0"/>
              <w:rPr>
                <w:sz w:val="19"/>
                <w:szCs w:val="19"/>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2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160" w:type="dxa"/>
            <w:vAlign w:val="bottom"/>
          </w:tcPr>
          <w:p>
            <w:pPr>
              <w:spacing w:after="0"/>
              <w:rPr>
                <w:sz w:val="19"/>
                <w:szCs w:val="19"/>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Acquisitions</w:t>
            </w:r>
          </w:p>
        </w:tc>
        <w:tc>
          <w:tcPr>
            <w:tcW w:w="13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238"/>
        </w:trPr>
        <w:tc>
          <w:tcPr>
            <w:tcW w:w="2620" w:type="dxa"/>
            <w:vAlign w:val="bottom"/>
          </w:tcPr>
          <w:p>
            <w:pPr>
              <w:spacing w:after="0"/>
              <w:rPr>
                <w:sz w:val="20"/>
                <w:szCs w:val="20"/>
                <w:color w:val="auto"/>
              </w:rPr>
            </w:pPr>
          </w:p>
        </w:tc>
        <w:tc>
          <w:tcPr>
            <w:tcW w:w="146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allocation</w:t>
            </w:r>
          </w:p>
        </w:tc>
        <w:tc>
          <w:tcPr>
            <w:tcW w:w="16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Cultivation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48,890</w:t>
            </w: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198,710</w:t>
            </w:r>
          </w:p>
        </w:tc>
        <w:tc>
          <w:tcPr>
            <w:tcW w:w="0" w:type="dxa"/>
            <w:vAlign w:val="bottom"/>
          </w:tcPr>
          <w:p>
            <w:pPr>
              <w:spacing w:after="0"/>
              <w:rPr>
                <w:sz w:val="1"/>
                <w:szCs w:val="1"/>
                <w:color w:val="auto"/>
              </w:rPr>
            </w:pPr>
          </w:p>
        </w:tc>
      </w:tr>
      <w:tr>
        <w:trPr>
          <w:trHeight w:val="40"/>
        </w:trPr>
        <w:tc>
          <w:tcPr>
            <w:tcW w:w="26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246,230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247,600</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(LOSSES)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presents basic earnings (losses) per share. Basic earnings (losses) per share is calculated by dividing the earnings (loss) attributable to shareholders by the weighted average number of Subordinate Voting Shares (with outstanding Proportionate Voting Shares, if any, accounted for on an as converted to Subordinate Voting Shares basis) outstanding during the periods presented. Diluted earnings (losses) per share is computed based on the weighted average number of Subordinate Voting Shares (with outstanding Proportionate Voting Shares, if any, accounted for on an as converted to Subordinate Voting Shares basis) outstanding, to the extent dilutive.</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computations of net earnings (loss) per share on a basic and diluted basis, including reconciliations of the numerators and denominators, for the three months ended March 31, 2025 and March 31, 2024 were as follows:</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9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40"/>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37"/>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0"/>
        </w:trPr>
        <w:tc>
          <w:tcPr>
            <w:tcW w:w="2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6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77"/>
        </w:trPr>
        <w:tc>
          <w:tcPr>
            <w:tcW w:w="20" w:type="dxa"/>
            <w:vAlign w:val="bottom"/>
          </w:tcPr>
          <w:p>
            <w:pPr>
              <w:spacing w:after="0"/>
              <w:rPr>
                <w:sz w:val="24"/>
                <w:szCs w:val="24"/>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attributable to Verano Holdings Corp.</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(11,515)</w:t>
            </w:r>
          </w:p>
        </w:tc>
        <w:tc>
          <w:tcPr>
            <w:tcW w:w="100" w:type="dxa"/>
            <w:vAlign w:val="bottom"/>
          </w:tcPr>
          <w:p>
            <w:pPr>
              <w:spacing w:after="0"/>
              <w:rPr>
                <w:sz w:val="24"/>
                <w:szCs w:val="24"/>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40"/>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20" w:type="dxa"/>
            <w:vAlign w:val="bottom"/>
          </w:tcPr>
          <w:p>
            <w:pPr>
              <w:spacing w:after="0"/>
              <w:rPr>
                <w:sz w:val="3"/>
                <w:szCs w:val="3"/>
                <w:color w:val="auto"/>
              </w:rPr>
            </w:pPr>
          </w:p>
        </w:tc>
      </w:tr>
      <w:tr>
        <w:trPr>
          <w:trHeight w:val="203"/>
        </w:trPr>
        <w:tc>
          <w:tcPr>
            <w:tcW w:w="20" w:type="dxa"/>
            <w:vAlign w:val="bottom"/>
            <w:shd w:val="clear" w:color="auto" w:fill="CCEEFF"/>
          </w:tcPr>
          <w:p>
            <w:pPr>
              <w:spacing w:after="0"/>
              <w:rPr>
                <w:sz w:val="17"/>
                <w:szCs w:val="17"/>
                <w:color w:val="auto"/>
              </w:rPr>
            </w:pPr>
          </w:p>
        </w:tc>
        <w:tc>
          <w:tcPr>
            <w:tcW w:w="522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620" w:type="dxa"/>
            <w:vAlign w:val="bottom"/>
            <w:tcBorders>
              <w:top w:val="single" w:sz="8" w:color="CCEEFF"/>
            </w:tcBorders>
            <w:shd w:val="clear" w:color="auto" w:fill="CCEEFF"/>
          </w:tcPr>
          <w:p>
            <w:pPr>
              <w:spacing w:after="0"/>
              <w:rPr>
                <w:sz w:val="5"/>
                <w:szCs w:val="5"/>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3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359,145,607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344,083,000</w:t>
            </w:r>
          </w:p>
        </w:tc>
      </w:tr>
      <w:tr>
        <w:trPr>
          <w:trHeight w:val="40"/>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20" w:type="dxa"/>
            <w:vAlign w:val="bottom"/>
          </w:tcPr>
          <w:p>
            <w:pPr>
              <w:spacing w:after="0"/>
              <w:rPr>
                <w:sz w:val="3"/>
                <w:szCs w:val="3"/>
                <w:color w:val="auto"/>
              </w:rPr>
            </w:pPr>
          </w:p>
        </w:tc>
      </w:tr>
      <w:tr>
        <w:trPr>
          <w:trHeight w:val="256"/>
        </w:trPr>
        <w:tc>
          <w:tcPr>
            <w:tcW w:w="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6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203"/>
        </w:trPr>
        <w:tc>
          <w:tcPr>
            <w:tcW w:w="20" w:type="dxa"/>
            <w:vAlign w:val="bottom"/>
          </w:tcPr>
          <w:p>
            <w:pPr>
              <w:spacing w:after="0"/>
              <w:rPr>
                <w:sz w:val="17"/>
                <w:szCs w:val="17"/>
                <w:color w:val="auto"/>
              </w:rPr>
            </w:pPr>
          </w:p>
        </w:tc>
        <w:tc>
          <w:tcPr>
            <w:tcW w:w="522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61"/>
        </w:trPr>
        <w:tc>
          <w:tcPr>
            <w:tcW w:w="2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46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20" w:type="dxa"/>
            <w:vAlign w:val="bottom"/>
          </w:tcPr>
          <w:p>
            <w:pPr>
              <w:spacing w:after="0"/>
              <w:rPr>
                <w:sz w:val="5"/>
                <w:szCs w:val="5"/>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5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 – diluted</w:t>
            </w:r>
          </w:p>
        </w:tc>
        <w:tc>
          <w:tcPr>
            <w:tcW w:w="3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359,145,607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344,083,000</w:t>
            </w:r>
          </w:p>
        </w:tc>
      </w:tr>
      <w:tr>
        <w:trPr>
          <w:trHeight w:val="256"/>
        </w:trPr>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43"/>
        </w:trPr>
        <w:tc>
          <w:tcPr>
            <w:tcW w:w="20" w:type="dxa"/>
            <w:vAlign w:val="bottom"/>
            <w:shd w:val="clear" w:color="auto" w:fill="CCEEFF"/>
          </w:tcPr>
          <w:p>
            <w:pPr>
              <w:spacing w:after="0"/>
              <w:rPr>
                <w:sz w:val="21"/>
                <w:szCs w:val="21"/>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&amp; diluted</w:t>
            </w:r>
          </w:p>
        </w:tc>
        <w:tc>
          <w:tcPr>
            <w:tcW w:w="38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40"/>
        </w:trPr>
        <w:tc>
          <w:tcPr>
            <w:tcW w:w="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6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r>
    </w:tbl>
    <w:p>
      <w:pPr>
        <w:spacing w:after="0" w:line="29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outstanding restricted stock units (“RSUs”) of approximately 6,162,724 were anti-dilutive under the treasury stock method and were excluded from the computation of diluted earnings (loss) per share. These awards may be dilutive in the future. Potentially dilutive securities of approximately 4,580,744 for the three months ended March 31, 2024, were not included in the computation of diluted earnings per share because their effect would have been anti-dilutive.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7"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 xml:space="preserve">The Company has determined that the acquisitions described below are business combinations under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Acquisitions that are determined to be the acquisition of a business are accounted for by applying the acquisition method, whereby the assets acquired, and the liabilities assumed are recorded at their fair values at the date of acquisition with any excess of the aggregate consideration over the fair values of the identifiable net assets allocated to goodwill. Operating results for the companies acquired have been included in these Unaudited Interim Condensed Consolidated Financial Statements from the date of the acquisition. Any goodwill recognized is attributed based on reporting units.</w:t>
      </w:r>
    </w:p>
    <w:p>
      <w:pPr>
        <w:spacing w:after="0" w:line="184"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purchase price allocations for the acquisitions reflect various fair value estimates and analyses which are subject to change within the measurement period, which is the one-year period subsequent to the acquisition date. The primary areas of the purchase price allocation that are subject to change relate to the fair value of certain tangible assets, the value of intangible assets acquired, and residual goodwill. The Company expects to continue to obtain information to assist in determining the fair value of the net assets acquired at the acquisition date during the measurement period.</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Measurement period adjustments that the Company determined to be material will be applied prospectively in the Company’s future consolidated financial statements, and depending on the nature of the adjustments, other periods subsequent to the period of acquisition could be affected.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2024 Business Combinations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203 Organix L.L.C. &amp; Salubrious Wellness Clinic, Inc.</w:t>
      </w:r>
    </w:p>
    <w:p>
      <w:pPr>
        <w:spacing w:after="0" w:line="241"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On July 29, 2024, the Company entered into two equity purchase agreements with (a) The Cannabist Company Holdings Inc. (“Cannabist”), CC VA Holdco LLC, Columbia Care – Arizona, Tempe, L.L.C., Thomas Allison and Salubrious Wellness Clinic, Inc. (“SWC”), pursuant to which the Company acquired all of the issued and outstanding equity interests of SWC, and (b) Cannabist, CC VA Holdco LLC, Columbia Care-Arizona, Prescott, L.L.C. and 203 Organix, LLC (“203” and together with SWC, “Cannabist AZ”), pursuant to which the Company acquired all of the issued and outstanding equity interests of 203. The Company added an active cultivation and production facility and increased the Company's retail footprint in Arizona. The transactions closed on August 16, 2024. Pursuant to the equity purchase agreement, the Company paid total cash consideration of $12,891, inclusive of estimated ongoing purchase price adjustments.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Columbia Care Eastern Virginia LLC</w:t>
      </w:r>
    </w:p>
    <w:p>
      <w:pPr>
        <w:spacing w:after="0" w:line="241"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On July 29, 2024, the Company entered into an equity purchase agreement with Cannabist, Columbia Care Eastern Virginia LLC (“CC East Virginia”), and the members of CC East Virginia party thereto (the “Virginia EPA”), pursuant to which the Company acquired all of the issued and outstanding equity interests of CC East Virginia. CC East Virginia is the sole vertical cannabis operator in HSA 5 in Eastern Virginia. The transaction closed on August 21, 2024. Pursuant to the Virginia EPA, the Company paid $24,122 in cash consideration and equity consideration of 10,416,041 Subordinate Voting Shares with an estimated fair value of $34,453, all of which was distributed on the closing date of the transaction. In addition, on the closing date of the transaction, the Company issued a $26,700 promissory note (the “CC East Virginia Promissory Note”) with an estimated fair value of $26,068 and which bears interest at a rate of 7% per annum and matures on the two-year anniversary of the transaction closing date.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86" w:lineRule="exact"/>
        <w:rPr>
          <w:sz w:val="20"/>
          <w:szCs w:val="20"/>
          <w:color w:val="auto"/>
        </w:rPr>
      </w:pPr>
    </w:p>
    <w:p>
      <w:pPr>
        <w:ind w:left="340" w:hanging="314"/>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TRANSACTIONS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For the acquisitions of CC East Virginia and Cannabist AZ, the purchase price allocation as of the date of acquisition was based on a preliminary valuation and is subject to revision as more detailed analyses are completed and additional information about the fair value of assets acquired and liabilities assumed becomes available. The primary areas that remain preliminary for the acquisitions of CC East Virginia and Cannabist AZ relate to the fair values of goodwill, intangible assets, and income taxes.</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For the acquisitions of CC East Virginia and Cannabist AZ, the major classes of assets and liabilities to which we have preliminarily allocated the purchase price were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62"/>
        </w:trPr>
        <w:tc>
          <w:tcPr>
            <w:tcW w:w="5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8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CC East Virginia</w:t>
            </w:r>
          </w:p>
        </w:tc>
        <w:tc>
          <w:tcPr>
            <w:tcW w:w="280" w:type="dxa"/>
            <w:vAlign w:val="bottom"/>
          </w:tcPr>
          <w:p>
            <w:pPr>
              <w:spacing w:after="0"/>
              <w:rPr>
                <w:sz w:val="22"/>
                <w:szCs w:val="22"/>
                <w:color w:val="auto"/>
              </w:rPr>
            </w:pPr>
          </w:p>
        </w:tc>
        <w:tc>
          <w:tcPr>
            <w:tcW w:w="1820" w:type="dxa"/>
            <w:vAlign w:val="bottom"/>
          </w:tcPr>
          <w:p>
            <w:pPr>
              <w:jc w:val="right"/>
              <w:ind w:right="369"/>
              <w:spacing w:after="0"/>
              <w:rPr>
                <w:sz w:val="20"/>
                <w:szCs w:val="20"/>
                <w:color w:val="auto"/>
              </w:rPr>
            </w:pPr>
            <w:r>
              <w:rPr>
                <w:rFonts w:ascii="Times New Roman" w:cs="Times New Roman" w:eastAsia="Times New Roman" w:hAnsi="Times New Roman"/>
                <w:sz w:val="20"/>
                <w:szCs w:val="20"/>
                <w:b w:val="1"/>
                <w:bCs w:val="1"/>
                <w:color w:val="auto"/>
              </w:rPr>
              <w:t>Cannabist AZ</w:t>
            </w:r>
          </w:p>
        </w:tc>
      </w:tr>
      <w:tr>
        <w:trPr>
          <w:trHeight w:val="21"/>
        </w:trPr>
        <w:tc>
          <w:tcPr>
            <w:tcW w:w="5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57"/>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41"/>
        </w:trPr>
        <w:tc>
          <w:tcPr>
            <w:tcW w:w="5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6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41"/>
        </w:trPr>
        <w:tc>
          <w:tcPr>
            <w:tcW w:w="5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6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w:t>
            </w:r>
          </w:p>
        </w:tc>
      </w:tr>
      <w:tr>
        <w:trPr>
          <w:trHeight w:val="40"/>
        </w:trPr>
        <w:tc>
          <w:tcPr>
            <w:tcW w:w="5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64"/>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2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r>
      <w:tr>
        <w:trPr>
          <w:trHeight w:val="40"/>
        </w:trPr>
        <w:tc>
          <w:tcPr>
            <w:tcW w:w="5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64"/>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w:t>
            </w:r>
          </w:p>
        </w:tc>
      </w:tr>
      <w:tr>
        <w:trPr>
          <w:trHeight w:val="40"/>
        </w:trPr>
        <w:tc>
          <w:tcPr>
            <w:tcW w:w="5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6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2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40"/>
        </w:trPr>
        <w:tc>
          <w:tcPr>
            <w:tcW w:w="5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6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21"/>
                <w:szCs w:val="21"/>
                <w:color w:val="auto"/>
              </w:rPr>
            </w:pP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40"/>
        </w:trPr>
        <w:tc>
          <w:tcPr>
            <w:tcW w:w="5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84"/>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6"/>
        </w:trPr>
        <w:tc>
          <w:tcPr>
            <w:tcW w:w="55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r>
        <w:trPr>
          <w:trHeight w:val="24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12,891</w:t>
            </w:r>
          </w:p>
        </w:tc>
      </w:tr>
      <w:tr>
        <w:trPr>
          <w:trHeight w:val="40"/>
        </w:trPr>
        <w:tc>
          <w:tcPr>
            <w:tcW w:w="55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r>
    </w:tbl>
    <w:p>
      <w:pPr>
        <w:spacing w:after="0" w:line="29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Goodwill was assigned to both the retail and cultivation (wholesale) segments. The goodwill was primarily attributed to increased synergies that are expected to be achieved from the integration of CC East Virginia and Cannabist AZ. Substantially all of the goodwill is expected to be non-deductible for income tax purposes.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Dispositions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Noah's Ark, LLC</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On January 13, 2025, Verano terminated certain of its contracts with Noah's Ark, LLC, an Arkansas limited liability company, and its members. In addition, the Company's subsidiary, Verano El Dorado, LLC, an Arkansas limited liability company, sold real property located at 3213 N. West Avenue, El Dorado, Union County, Arkansas 71730. As a result of such transactions, Verano no longer has any commercial agreements or affiliated operational activity related to Arkansas.</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disposition resulted in a gain of $4,739 for the three months ended March 31, 2025 which is classified as a component of Other Income (Expense), net in the Unaudited Interim Condensed Consolidated Statement of Operations.</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86" w:lineRule="exact"/>
        <w:rPr>
          <w:sz w:val="20"/>
          <w:szCs w:val="20"/>
          <w:color w:val="auto"/>
        </w:rPr>
      </w:pPr>
    </w:p>
    <w:p>
      <w:pPr>
        <w:ind w:left="340" w:hanging="314"/>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TRANSACTIONS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Other Acquisition Consideration Payable Adjustments</w:t>
      </w:r>
    </w:p>
    <w:p>
      <w:pPr>
        <w:spacing w:after="0" w:line="243"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On December 28, 2023, the Company became contractually obligated, upon the completion of certain conditions precedent, to issue $1,250 worth of Subordinate Voting Shares, in the aggregate, as consideration for the acquisition of certain assets from Ivy Hall Mount Holly, LLC. During 2024, 297,225 Subordinate Voting Shares were issued as a portion of such consideration, representing a value of $625. During the three months ended March 31, 2025 the Company made cash payments in the amount of $333 related to the purchase price consideration. The Company expects to issue an additional 297,225 Subordinate Voting Shares in 2025 and $667 of cash consideration in the aggregate during 2025 and 2026, as the final portion of such consideration.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As of March 31, 2025 and December 31, 2024 debt consisted of the following:</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531"/>
        </w:trPr>
        <w:tc>
          <w:tcPr>
            <w:tcW w:w="6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294,750</w:t>
            </w: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Promissory Notes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22,455</w:t>
            </w:r>
          </w:p>
        </w:tc>
      </w:tr>
      <w:tr>
        <w:trPr>
          <w:trHeight w:val="40"/>
        </w:trPr>
        <w:tc>
          <w:tcPr>
            <w:tcW w:w="6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107,306</w:t>
            </w: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 and Equipment Loans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41"/>
        </w:trPr>
        <w:tc>
          <w:tcPr>
            <w:tcW w:w="6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8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(11,258)</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r>
      <w:tr>
        <w:trPr>
          <w:trHeight w:val="26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413,849</w:t>
            </w:r>
          </w:p>
        </w:tc>
      </w:tr>
      <w:tr>
        <w:trPr>
          <w:trHeight w:val="257"/>
        </w:trPr>
        <w:tc>
          <w:tcPr>
            <w:tcW w:w="6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18,153</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r>
      <w:tr>
        <w:trPr>
          <w:trHeight w:val="302"/>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403,828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395,696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On October 27, 2022, Verano and certain of its subsidiaries and affiliates (collectively, the “Borrowers”), entered into a Credit Agreement (the “2022 Credit Agreement”) with Chicago Atlantic Admin, LLC (“Chicago Atlantic”), as administrative agent for the lenders, and the lenders from time-to-time party thereto, pursuant to which the lenders advanced the Borrowers a $350,000 senior secured term loan, all of which was used to repay the principal indebtedness outstanding under the Company's previous senior secured term loan credit facility. In connection with such repayment, such previous credit facility was terminated and is no longer in force or effect.</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2022 Credit Agreement provides the Borrowers with the right, subject to conditions, to request an additional incremental term loan in the aggregate principal amount of up to $100,000; provided that the lenders elect to fund such incremental term loan. Beginning in October 2023, the loan requires scheduled amortization payments of $350 per month and the remaining principal balance is due in full on October 30, 2026.</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2022 Credit Agreement also provides the Borrowers with the right to (a) incur up to $120,000 of additional indebtedness from third-party lenders secured by real estate excluded as collateral under the 2022 Credit Agreement, (b) incur additional mortgage financing from third-party lenders secured by real estate acquired after the closing date, and (c) upon the SAFE Banking Act or similar legislation making banking services available to U.S. cannabis companies being passed by the United States Congress, incur up to $50,000 pursuant to a revolving credit facility from third-party lenders that is pari passu or subordinated to the 2022 Credit Agreement obligations, each of which are subject to customary conditions.</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obligations under the 2022 Credit Agreement are secured by substantially all of the assets of the Borrowers, excluding vehicles, specified parcels of real estate and other customary exclusions.</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2022 Credit Agreement provides for a floating annual interest rate equal to the prime rate then in effect plus 6.50%, which rate may be increased by 3.00% upon an event of default that is not a material event of default or 6.00% upon a material event of default.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DEBT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At any time, the Company may voluntarily prepay up to $100,000 of the principal balance, subject to a one-time $1,000 prepayment premium upon the first prepayment, and may prepay the remaining outstanding principal balance for a prepayment premium at varying rates based on the timing of any subsequent prepayments. The Borrowers may not voluntarily prepay more than $100,000 of the principal balance without prepaying the entire outstanding principal balance of the loan.</w:t>
      </w:r>
    </w:p>
    <w:p>
      <w:pPr>
        <w:spacing w:after="0" w:line="180"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On April 30, 2024, the Company made a Permitted Partial Optional Prepayment (as defined in the 2022 Credit Agreement) in the amount of $50,000 pursuant to the 2022 Credit Agreement and paid a $1,000 prepayment premium in connection therewith. In connection with such Permitted Partial Optional Prepayment, Chicago Atlantic and certain lenders agreed to (a) release certain Borrowers from their obligations under, and as parties to, the 2022 Credit Agreement and related agreements and (b) release all liens over such Borrowers’ property, including real estate, held by Chicago Atlantic for the benefit of the lenders, in each case, pursuant to a limited consent and waiver, dated as of April 29, 2024, by and among Borrowers, certain of the lenders party thereto and Chicago Atlantic.</w:t>
      </w:r>
    </w:p>
    <w:p>
      <w:pPr>
        <w:spacing w:after="0" w:line="18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2022 Credit Agreement includes customary representations and warranties and customary events of default, including, without limitation, payment defaults, breaches of representations and warranties, covenant defaults, cross-defaults to material indebtedness, and events of bankruptcy and insolvency.</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2022 Credit Agreement also includes customary negative covenants limiting the Borrowers’ ability to incur additional indebtedness and grant liens that are not otherwise permitted, and the ability to enter into or consummate acquisitions or dispositions that are not otherwise permitted, among others. Additionally, the 2022 Credit Agreement requires the Borrowers to meet certain financial tests regarding minimum cash balances, minimum levels of Adjusted EBITDA (as defined in the 2022 Credit Agreement) and a minimum fixed charge coverage ratio.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2025, the Company was in compliance with such covenants.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Columbia Care Eastern Virginia LLC</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On July 29, 2024, the Company entered into the Virginia EPA to purchase all of the issued and outstanding equity interests of CC East Virginia. The transaction closed on August 21, 2024. Pursuant to the Virginia EPA, the Company issued the CC East Virginia Promissory Note in the amount of $26,700, which is subject to further adjustment and has an estimated fair value of $26,068, and which bears interest at a rate of 7% per annum beginning on the closing date, through maturity on the two-year anniversary of the closing date.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Mortgage</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On March 14, 2025, the Company entered into a loan with Rainbow Realty Group IV, LLC to borrow a principal amount of $12,000 secured by real estate in Coolidge, Arizona and North Las Vegas, Nevada. The loan bears an interest rate of 11% per annum and matures in March 2030.</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 xml:space="preserve">Subordinate Voting Shares and Proportionate Voting Shares are classified as equity. Incremental costs directly attributable to the issuance of shares are recognized as a deduction from equity. The proceeds from the exercise of stock options or warrants, if applicable, together with amounts previously recorded in reserves over the vesting periods are recorded as share capital. Income tax relating to transaction costs of an equity transaction is accounted for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Issued and Outstanding</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had 359,718,318 Subordinate Voting Shares issued and outstanding and no Proportionate Voting Shares outstanding. The Company has the following two classes of share capital, with each class having no par value: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  Subordinate Voting Shares</w:t>
      </w:r>
    </w:p>
    <w:p>
      <w:pPr>
        <w:spacing w:after="0" w:line="22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holders of the Subordinate Voting Shares are entitled to receive dividends issued by the Company and one vote per share at shareholder meetings of the Company. All Subordinate Voting Shares are ranked equally regarding the Company’s residual assets. The Company is authorized to issue an unlimited number of Subordinate Voting Shares.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(ii) Proportionate Voting Shares</w:t>
      </w:r>
    </w:p>
    <w:p>
      <w:pPr>
        <w:spacing w:after="0" w:line="229"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Each Proportionate Voting Share is convertible into 100 Subordinate Voting Shares. The holders of the Proportionate Voting Share are entitled to receive dividends issued by the Company on an as converted to Subordinate Voting Share basis and 100 votes per share at shareholder meetings of the Company. The Proportionate Voting Shares are ranked equally on an as converted to Subordinate Voting Share basis regarding the Company's residual assets. The Company is authorized to issue an unlimited number of Proportionate Voting Shares.</w:t>
      </w:r>
    </w:p>
    <w:p>
      <w:pPr>
        <w:spacing w:after="0" w:line="179"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Incentive Based Compensation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2021, the Company established the Verano Holdings Corp. Stock and Incentive Plan (the “Plan”), which provides for stock-based remuneration for its eligible directors, officers, employees, consultants, and advisors. The maximum number of RSUs, options and other stock-based awards that may be issued under the Plan cannot exceed 10% of the Company’s then issued and outstanding share capital, determined on an as converted to Subordinate Voting Shares basis. In addition, in March 2024, the Company adopted the Long-Term Cash Incentive Plan, which provides for cash-based remuneration to eligible service providers of the Company. All goods and services received in exchange for the grant of any stock-based or cash-based awards are measured at their fair value. Equity-settled stock-based payments under stock-based payment plans are ultimately recognized as an expense in profit or loss with a corresponding credit to equity.</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compensation expense on a straight-line basis over the requisite service period of the award. Estimates are subsequently revised if there is any indication that the number of shares or amount of cash expected to vest differs from the previous estimate. Any cumulative adjustment prior to vesting is recognized in the current period with no adjustment to prior periods for expense previously recognized.</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Option and RSU grants generally vest in installments over 12 to 36 months and options typically have a life of ten years.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had 31,759 fully vested and exercisable options, entitling the holder thereof to one Subordinate Voting Share per each option upon exercise, with a weighted average exercise price of C$21.03 and a weighted average remaining contractual life of 5.91 years as of March 31, 2025.</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No fully vested options, entitling the holder thereof to one Subordinate Voting Share per each option upon exercise, were cancelled during the three months ended March 31, 2025. No options were granted or forfeited during the three months ended March 31, 2025. As of March 31, 2025 and December 31, 2024, there were no in-the-money options.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227"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unvested RSU awards as of March 31, 2025 and December 31, 2024 and the changes during the three months ended March 31, 2025:</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9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Weighted Avg.</w:t>
            </w:r>
          </w:p>
        </w:tc>
      </w:tr>
      <w:tr>
        <w:trPr>
          <w:trHeight w:val="229"/>
        </w:trPr>
        <w:tc>
          <w:tcPr>
            <w:tcW w:w="69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Grant Date Fair</w:t>
            </w:r>
          </w:p>
        </w:tc>
      </w:tr>
      <w:tr>
        <w:trPr>
          <w:trHeight w:val="216"/>
        </w:trPr>
        <w:tc>
          <w:tcPr>
            <w:tcW w:w="6980" w:type="dxa"/>
            <w:vAlign w:val="bottom"/>
          </w:tcPr>
          <w:p>
            <w:pPr>
              <w:spacing w:after="0"/>
              <w:rPr>
                <w:sz w:val="18"/>
                <w:szCs w:val="18"/>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52"/>
        </w:trPr>
        <w:tc>
          <w:tcPr>
            <w:tcW w:w="6980" w:type="dxa"/>
            <w:vAlign w:val="bottom"/>
          </w:tcPr>
          <w:p>
            <w:pPr>
              <w:spacing w:after="0"/>
              <w:rPr>
                <w:sz w:val="21"/>
                <w:szCs w:val="21"/>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7"/>
        </w:trPr>
        <w:tc>
          <w:tcPr>
            <w:tcW w:w="69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at December 31, 2024</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6,302,987</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20,493</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r>
      <w:tr>
        <w:trPr>
          <w:trHeight w:val="40"/>
        </w:trPr>
        <w:tc>
          <w:tcPr>
            <w:tcW w:w="69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63"/>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85,521</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75,235</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40"/>
        </w:trPr>
        <w:tc>
          <w:tcPr>
            <w:tcW w:w="698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3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RSUs at March 31, 2025</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6,162,724</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40"/>
        </w:trPr>
        <w:tc>
          <w:tcPr>
            <w:tcW w:w="69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stock-based compensation expense for the three months ended March 31, 2025 and 2024 were as follows:</w:t>
      </w:r>
    </w:p>
    <w:p>
      <w:pPr>
        <w:spacing w:after="0" w:line="27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36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500" w:type="dxa"/>
            <w:vAlign w:val="bottom"/>
          </w:tcPr>
          <w:p>
            <w:pPr>
              <w:spacing w:after="0"/>
              <w:rPr>
                <w:sz w:val="20"/>
                <w:szCs w:val="20"/>
                <w:color w:val="auto"/>
              </w:rPr>
            </w:pPr>
          </w:p>
        </w:tc>
      </w:tr>
      <w:tr>
        <w:trPr>
          <w:trHeight w:val="40"/>
        </w:trPr>
        <w:tc>
          <w:tcPr>
            <w:tcW w:w="572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36"/>
        </w:trPr>
        <w:tc>
          <w:tcPr>
            <w:tcW w:w="572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r>
      <w:tr>
        <w:trPr>
          <w:trHeight w:val="40"/>
        </w:trPr>
        <w:tc>
          <w:tcPr>
            <w:tcW w:w="572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57"/>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360" w:type="dxa"/>
            <w:vAlign w:val="bottom"/>
            <w:tcBorders>
              <w:bottom w:val="single" w:sz="8" w:color="CCEEFF"/>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3,928</w:t>
            </w:r>
          </w:p>
        </w:tc>
      </w:tr>
      <w:tr>
        <w:trPr>
          <w:trHeight w:val="40"/>
        </w:trPr>
        <w:tc>
          <w:tcPr>
            <w:tcW w:w="572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95"/>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 Based Compensation Expense</w:t>
            </w: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3,928</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17, 2024, the Company's Board of Directors authorized the repurchase of up to 5%, or 17,320,857 of its Subordinate Voting Shares over a 12-month period, and in no event repurchasing more than an aggregate cost of $50,000. During the three months ended March 31, 2025, the Company repurchased zero Subordinate Voting Shares. The total remaining repurchase authorization remains at $50,000.</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income tax expense and effective tax rates for the three months ended March 31, 2025 and 2024:</w:t>
      </w:r>
    </w:p>
    <w:p>
      <w:pPr>
        <w:spacing w:after="0" w:line="27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4320" w:type="dxa"/>
            <w:vAlign w:val="bottom"/>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40"/>
        </w:trPr>
        <w:tc>
          <w:tcPr>
            <w:tcW w:w="550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37"/>
        </w:trPr>
        <w:tc>
          <w:tcPr>
            <w:tcW w:w="55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0"/>
        </w:trPr>
        <w:tc>
          <w:tcPr>
            <w:tcW w:w="550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57"/>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5,834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6,655</w:t>
            </w: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8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(17,349)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(11,477)</w:t>
            </w:r>
          </w:p>
        </w:tc>
      </w:tr>
      <w:tr>
        <w:trPr>
          <w:trHeight w:val="41"/>
        </w:trPr>
        <w:tc>
          <w:tcPr>
            <w:tcW w:w="55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20" w:type="dxa"/>
            <w:vAlign w:val="bottom"/>
          </w:tcPr>
          <w:p>
            <w:pPr>
              <w:spacing w:after="0"/>
              <w:rPr>
                <w:sz w:val="3"/>
                <w:szCs w:val="3"/>
                <w:color w:val="auto"/>
              </w:rPr>
            </w:pPr>
          </w:p>
        </w:tc>
      </w:tr>
      <w:tr>
        <w:trPr>
          <w:trHeight w:val="24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r>
      <w:tr>
        <w:trPr>
          <w:trHeight w:val="40"/>
        </w:trPr>
        <w:tc>
          <w:tcPr>
            <w:tcW w:w="550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r>
    </w:tbl>
    <w:p>
      <w:pPr>
        <w:spacing w:after="0" w:line="29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effective tax rates for the three months ended March 31, 2025 and 2024 were based on the Company’s forecasted annualized effective tax rates and were adjusted for discrete items that occurred within the periods presented. Net discrete tax items of $9,065 and $(236) were recorded during the three months ended March 31, 2025 and 2024, respectively. Discrete items recorded during the three months ended March 31, 2025 and 2024 primarily relate to penalties and interest on unpaid tax liabilities, impacts of prior period return to provision adjustments, and remeasurement of deferred taxes for state tax rate changes.</w:t>
      </w:r>
    </w:p>
    <w:p>
      <w:pPr>
        <w:spacing w:after="0" w:line="18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Internal Revenue Service has taken the position that cannabis companies are subject to the limits of Section 280E of the U.S. Internal Revenue Code of 1986, as amended (the “Code”) for U.S. federal income tax purposes, under which, they are only allowed to deduct expenses directly related to costs of goods sold. The Company has taken a position that its deduction of ordinary and necessary business expenses is not limited by Section 280E of the Code.</w:t>
      </w:r>
    </w:p>
    <w:p>
      <w:pPr>
        <w:spacing w:after="0" w:line="180"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an uncertain tax liability in uncertain tax positions on the Consolidated Balance Sheet for tax positions taken based on legal interpretations that challenge the Company's tax liability under Section 280E of the Code.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Taxes paid during the three months ended March 31, 2025 and 2024 were $32,485 and $9,585, respectively.</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for some of its retail dispensaries and processing and production facilities located throughout the U.S., as well as for its corporate offices located in Chicago, Illinois. Operating lease right-of-use assets and operating lease liabilities are recognized based on the present value of future minimum lease payments over the lease term at commencement date.</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Leases with an initial term of 12 months or less are not recorded on the Company's balance sheet. Certain leases require payments for taxes, insurance, and maintenance, and are considered non-lease components. The Company accounts for non-lease components separately.</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The Company must consider whether the contract conveys the right to control the use of an identified asset.</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leases certain business facilities from third parties under non-cancellable operating lease agreements that contain minimum rental provisions that expire through 2037. Some leases also contain renewal provisions and provide for rent abatement and escalating payments.</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recorded approximately $5,692 and $4,999 in operating lease expense, respectively, of which $317 and $114 was included in cost of goods sold for the same periods,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information related to operating leases as of and for the periods ended March 31, 2025 and December 31, 2024,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22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9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54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 years</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8.08</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10.38 %</w:t>
            </w:r>
          </w:p>
        </w:tc>
        <w:tc>
          <w:tcPr>
            <w:tcW w:w="1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10.28 %</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7"/>
        </w:trPr>
        <w:tc>
          <w:tcPr>
            <w:tcW w:w="660" w:type="dxa"/>
            <w:vAlign w:val="bottom"/>
          </w:tcPr>
          <w:p>
            <w:pPr>
              <w:spacing w:after="0"/>
              <w:rPr>
                <w:sz w:val="24"/>
                <w:szCs w:val="24"/>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lease liabilities for operating leases as of March 31, 2025 were as follows: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60" w:type="dxa"/>
            <w:vAlign w:val="bottom"/>
          </w:tcPr>
          <w:p>
            <w:pPr>
              <w:spacing w:after="0"/>
              <w:rPr>
                <w:sz w:val="24"/>
                <w:szCs w:val="24"/>
                <w:color w:val="auto"/>
              </w:rPr>
            </w:pP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00" w:type="dxa"/>
            <w:vAlign w:val="bottom"/>
          </w:tcPr>
          <w:p>
            <w:pPr>
              <w:spacing w:after="0"/>
              <w:rPr>
                <w:sz w:val="24"/>
                <w:szCs w:val="24"/>
                <w:color w:val="auto"/>
              </w:rPr>
            </w:pPr>
          </w:p>
        </w:tc>
        <w:tc>
          <w:tcPr>
            <w:tcW w:w="35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Maturities of Lease Liability</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544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54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 (Remaining)</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16,357</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21,231</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756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6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20,569</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19,696</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756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6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18,501</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68,684</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6900" w:type="dxa"/>
            <w:vAlign w:val="bottom"/>
            <w:tcBorders>
              <w:bottom w:val="single" w:sz="8" w:color="CCEEFF"/>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5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165,038</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69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6900" w:type="dxa"/>
            <w:vAlign w:val="bottom"/>
            <w:gridSpan w:val="2"/>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Less: Imputed Interest</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(56,954)</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6900" w:type="dxa"/>
            <w:vAlign w:val="bottom"/>
            <w:tcBorders>
              <w:bottom w:val="single" w:sz="8" w:color="CCEEFF"/>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5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Present Value of Lease Liability</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108,084</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10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20</w:t>
            </w: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160" w:type="dxa"/>
            <w:vAlign w:val="bottom"/>
            <w:tcBorders>
              <w:top w:val="single" w:sz="8" w:color="auto"/>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5"/>
        </w:trPr>
        <w:tc>
          <w:tcPr>
            <w:tcW w:w="610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660" w:type="dxa"/>
            <w:vAlign w:val="bottom"/>
            <w:tcBorders>
              <w:bottom w:val="single" w:sz="8" w:color="9A9A9A"/>
            </w:tcBorders>
          </w:tcPr>
          <w:p>
            <w:pPr>
              <w:spacing w:after="0"/>
              <w:rPr>
                <w:sz w:val="11"/>
                <w:szCs w:val="11"/>
                <w:color w:val="auto"/>
              </w:rPr>
            </w:pPr>
          </w:p>
        </w:tc>
        <w:tc>
          <w:tcPr>
            <w:tcW w:w="5440" w:type="dxa"/>
            <w:vAlign w:val="bottom"/>
            <w:tcBorders>
              <w:bottom w:val="single" w:sz="8" w:color="9A9A9A"/>
            </w:tcBorders>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16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 AND OTHER</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70"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Claims and Litigation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time to time, the Company may be involved in litigation relating to claims arising out of operations in the normal course of business. As of March 31, 2025, other than as set forth below, there were no pending or threatened lawsuits that could reasonably be expected to have a material effect on the results of the Company’s consolidated operations. There are no proceedings in which the Company is a party and any of the Company’s directors, officers or affiliates is an adverse party or has a material interest adverse to the Company’s interest.</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31, 2022, the Company entered into an Arrangement Agreement (the “GGH Arrangement Agreement”) with Vireo Growth Inc., formerly known as Goodness Growth Holdings, Inc. (“GGH”), pursuant to which it agreed to acquire all of the issued and outstanding equity interests of GGH in exchange for equity interests in the Company, subject to the terms and conditions set forth in the GGH Arrangement Agreement. On October 13, 2022, the Company provided written notice to GGH of GGH’s breach of the GGH Arrangement Agreement and exercised the Company’s termination rights under the GGH Arrangement Agreement. On October 21, 2022, GGH filed suit against the Company in the Supreme Court of British Columbia alleging that the Company breached (i) the GGH Arrangement Agreement through, among other things, the purported wrongful repudiation of the GGH Arrangement Agreement, (ii) the duty of good faith, and (iii) the duty of honest performance in contract. In addition, on November 14, 2022, the Company filed a counterclaim asserting that GGH owes it a termination fee in the amount of $14,875, or alternatively, the reimbursement of out-of-pocket fees and expenses of up to $3,000 as a result of our termination of the GGH Arrangement Agreement, which was based upon our belief that GGH breached covenants and representations in the GGH Arrangement Agreement and the occurrence of other termination events. GGH filed a response to such counterclaim on December 7, 2022, in which GGH denied it was obligated to pay any termination fee or transaction expenses.</w:t>
      </w:r>
    </w:p>
    <w:p>
      <w:pPr>
        <w:spacing w:after="0" w:line="18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2, 2024, GGH filed an application with the Supreme Court of British Columbia seeking an order granting summary trial in the ongoing litigation between the Company and GGH regarding the GGH Arrangement Agreement. In the application, GGH stated it is seeking $860,900 in damages, plus costs and interest (the “GGH Application for Summary Trial”). On June 19, 2024, the Company filed an application in response seeking: (i) dismissal of the GGH Application for Summary Trial on the grounds that the issues raised by it are not suitable for disposition by summary trial and will not assist the efficient resolution of the proceeding; and (ii) an order that the report on damages filed by GGH in support of the GGH Application for Summary Trial is inadmissible and shall be excluded from evidence in the trial, or any summary trial, of this matter. On September 17, 2024, the Company filed an amended response and counterclaim with the Supreme Court of British Columbia, primarily in response to communications disclosed by GGH during the discovery process. The Company can provide no guarantees or assurances that it will prevail or settle this lawsuit or its counterclaim on favorable terms, if at all, and an adverse outcome could have a material adverse effect on its business,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-4519295</wp:posOffset>
            </wp:positionV>
            <wp:extent cx="70034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CONTINGENCIES AND OTHER </w:t>
      </w:r>
      <w:r>
        <w:rPr>
          <w:rFonts w:ascii="Times New Roman" w:cs="Times New Roman" w:eastAsia="Times New Roman" w:hAnsi="Times New Roman"/>
          <w:sz w:val="18"/>
          <w:szCs w:val="18"/>
          <w:i w:val="1"/>
          <w:iCs w:val="1"/>
          <w:color w:val="auto"/>
        </w:rPr>
        <w:t>(Continued)</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70"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Illegality of Cannabis at the U.S. Federal Level</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Verano operates within states where cannabis use, medical or adult use or both, has been approved by state and local regulatory bodies. Notwithstanding the permissive regulatory environment of medical, and in some cases also adult use cannabis at the state level, under U.S. federal law cannabis (other than hemp) is a Schedule I controlled substance under the Controlled Substances Act (21 U.S.C. § 811) (the “Controlled Substances Act”) which means it is viewed by the U.S. federal government as a drug that has a high potential for abuse and no therapeutic value. Therefore, even in states or territories that have legalized cannabis to some extent, the cultivation, processing, distribution, possession and sale of cannabis violates the Controlled Substances Act. Moreover, individuals and entities may violate U.S. federal law if they aid and abet another in violating the Controlled Substances Act or conspire with another to violate the law. Violating the Controlled Substances Act is also a predicate for other crimes, including money laundering laws and the Racketeer Influenced and Corrupt Organizations Act. Violations of any U.S. federal laws and regulations could result in significant fines, penalties, administrative sanctions, convictions or settlements arising from civil proceedings conducted by either the federal government or private citizens, or criminal charges, including, but not limited to, disgorgement of profits, cessation of business activities, civil forfeiture or divestiture.</w:t>
      </w:r>
    </w:p>
    <w:p>
      <w:pPr>
        <w:spacing w:after="0" w:line="191"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Strict compliance with state and local laws with respect to cannabis may neither absolve the Company of liability under U.S. federal law, nor may it provide a defense to any federal proceeding which may be brought against the Company. This could have a material adverse effect on the Company, including its reputation and ability to conduct business, its cannabis licenses in the U.S., the listing and trading of its securities on stock exchanges and platforms, its financial position, operating results, profitability, liquidity and the market price of its publicly traded shares. In addition, it is difficult for the Company to estimate the time or resources that would be needed for the investigation of any such matters or its final resolution because, in part, the time and resources that may be needed are dependent on the nature and extent of any information requested by the applicable authorities involved, and such time and resources could be substantial.</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can be no assurance that the comprehensive U.S. federal legislation that would de-schedule and de-criminalize cannabis will be passed in the near future or at all. If such legislation is passed, there is no guarantee that it will include provisions that preserve the current state-based cannabis programs under which the Company operates or that such legislation will otherwise be favorable to the Company and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-3844925</wp:posOffset>
            </wp:positionV>
            <wp:extent cx="70034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12.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conducts and manages its business through two reportable segments, representing the major lines of its cannabis business: cultivation (wholesale) and retail. The cultivation (wholesale) segment consists of the cultivation, production and sale of cannabis products to retail stores. The retail segment consists of the retailing of cannabis to patients and consumers.</w:t>
      </w:r>
    </w:p>
    <w:p>
      <w:pPr>
        <w:spacing w:after="0" w:line="174"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 xml:space="preserve">The accounting policies used in the segment reporting are the same as those described in </w:t>
      </w:r>
      <w:r>
        <w:rPr>
          <w:rFonts w:ascii="Times New Roman" w:cs="Times New Roman" w:eastAsia="Times New Roman" w:hAnsi="Times New Roman"/>
          <w:sz w:val="18"/>
          <w:szCs w:val="18"/>
          <w:i w:val="1"/>
          <w:iCs w:val="1"/>
          <w:color w:val="auto"/>
        </w:rPr>
        <w:t>Note 2 - Significant Accounting Policies</w:t>
      </w:r>
      <w:r>
        <w:rPr>
          <w:rFonts w:ascii="Times New Roman" w:cs="Times New Roman" w:eastAsia="Times New Roman" w:hAnsi="Times New Roman"/>
          <w:sz w:val="18"/>
          <w:szCs w:val="18"/>
          <w:color w:val="auto"/>
        </w:rPr>
        <w:t xml:space="preserve"> within the 2024 Annual Audited Financials on Form 10-K. The Company’s Chief Operating Decision Maker (“CODM”) is the Chief Executive Officer. The CODM utilizes each segment’s Adjusted EBITDA as the key indicator in assessing the segment’s performance and allocating resources. Segment-level Adjusted EBITDA includes intersegment revenues which consist primarily of sales of finished goods product from the wholesale (cultivation) to retail segment. Intersegment transactions are eliminated in consolidation. The elimination of such intersegment transactions is included in All Other in the table below. Additionally, we do not allocate certain shared expenses such as accounting, human resources, certain information technology and legal to our reportable segments. We include these expenses in All Other in the table below. The All Other column in the table below also includes unallocated corporate functions and expenses. Certain prior year line items have been adjusted and our allocation methodology is periodically evaluated and may change.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86" w:lineRule="exact"/>
        <w:rPr>
          <w:sz w:val="20"/>
          <w:szCs w:val="20"/>
          <w:color w:val="auto"/>
        </w:rPr>
      </w:pPr>
    </w:p>
    <w:p>
      <w:pPr>
        <w:ind w:left="340" w:hanging="314"/>
        <w:spacing w:after="0"/>
        <w:tabs>
          <w:tab w:leader="none" w:pos="3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SEGMENTS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Within the tables below the Other Segment Items for each segment primarily consists of certain selling, general, and administrative expenses and other operational costs. Summarized financial information for the Company's reportable segments consisted of the following:</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10"/>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tc>
      </w:tr>
      <w:tr>
        <w:trPr>
          <w:trHeight w:val="40"/>
        </w:trPr>
        <w:tc>
          <w:tcPr>
            <w:tcW w:w="48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37"/>
        </w:trPr>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4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14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1"/>
        </w:trPr>
        <w:tc>
          <w:tcPr>
            <w:tcW w:w="48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57"/>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79,561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(38,559)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209,809</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(52,608)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6"/>
              </w:rPr>
              <w:t>37,609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(110,228)</w:t>
            </w:r>
          </w:p>
        </w:tc>
      </w:tr>
      <w:tr>
        <w:trPr>
          <w:trHeight w:val="40"/>
        </w:trPr>
        <w:tc>
          <w:tcPr>
            <w:tcW w:w="4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8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13,262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(31,649)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(45,183)</w:t>
            </w:r>
          </w:p>
        </w:tc>
      </w:tr>
      <w:tr>
        <w:trPr>
          <w:trHeight w:val="23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40,215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rPr>
              <w:t>(32,599)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54,398</w:t>
            </w:r>
          </w:p>
        </w:tc>
      </w:tr>
      <w:tr>
        <w:trPr>
          <w:trHeight w:val="41"/>
        </w:trPr>
        <w:tc>
          <w:tcPr>
            <w:tcW w:w="4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Adjustments and Other Income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Transaction and Other Non-operating Costs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w:t>
            </w:r>
          </w:p>
        </w:tc>
      </w:tr>
      <w:tr>
        <w:trPr>
          <w:trHeight w:val="40"/>
        </w:trPr>
        <w:tc>
          <w:tcPr>
            <w:tcW w:w="4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Compensation</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(13,562)</w:t>
            </w:r>
          </w:p>
        </w:tc>
      </w:tr>
      <w:tr>
        <w:trPr>
          <w:trHeight w:val="40"/>
        </w:trPr>
        <w:tc>
          <w:tcPr>
            <w:tcW w:w="4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84"/>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(31,791)</w:t>
            </w:r>
          </w:p>
        </w:tc>
      </w:tr>
      <w:tr>
        <w:trPr>
          <w:trHeight w:val="27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5,834</w:t>
            </w:r>
          </w:p>
        </w:tc>
      </w:tr>
      <w:tr>
        <w:trPr>
          <w:trHeight w:val="27"/>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80" w:type="dxa"/>
            <w:vAlign w:val="bottom"/>
            <w:gridSpan w:val="11"/>
          </w:tcPr>
          <w:p>
            <w:pPr>
              <w:ind w:left="38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48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4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14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40" w:type="dxa"/>
            <w:vAlign w:val="bottom"/>
          </w:tcPr>
          <w:p>
            <w:pPr>
              <w:spacing w:after="0"/>
              <w:rPr>
                <w:sz w:val="20"/>
                <w:szCs w:val="20"/>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48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86,120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(33,402)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221,306</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(47,873)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6"/>
              </w:rPr>
              <w:t>32,390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(108,346)</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4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660" w:type="dxa"/>
            <w:vAlign w:val="bottom"/>
          </w:tcPr>
          <w:p>
            <w:pPr>
              <w:spacing w:after="0"/>
              <w:rPr>
                <w:sz w:val="24"/>
                <w:szCs w:val="24"/>
                <w:color w:val="auto"/>
              </w:rPr>
            </w:pPr>
          </w:p>
        </w:tc>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11,162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(29,306)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(46,413)</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49,409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rPr>
              <w:t>(30,318)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66,547</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4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Adjustments and Other Income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Transaction and Other Non-operating Costs</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4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60" w:type="dxa"/>
            <w:vAlign w:val="bottom"/>
          </w:tcPr>
          <w:p>
            <w:pPr>
              <w:spacing w:after="0"/>
              <w:rPr>
                <w:sz w:val="22"/>
                <w:szCs w:val="22"/>
                <w:color w:val="auto"/>
              </w:rPr>
            </w:pPr>
          </w:p>
        </w:tc>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Compensation</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(15,114)</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4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660" w:type="dxa"/>
            <w:vAlign w:val="bottom"/>
          </w:tcPr>
          <w:p>
            <w:pPr>
              <w:spacing w:after="0"/>
              <w:rPr>
                <w:sz w:val="24"/>
                <w:szCs w:val="24"/>
                <w:color w:val="auto"/>
              </w:rPr>
            </w:pPr>
          </w:p>
        </w:tc>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(35,552)</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4"/>
        </w:trPr>
        <w:tc>
          <w:tcPr>
            <w:tcW w:w="6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60" w:type="dxa"/>
            <w:vAlign w:val="bottom"/>
            <w:tcBorders>
              <w:bottom w:val="single" w:sz="8" w:color="9A9A9A"/>
            </w:tcBorders>
          </w:tcPr>
          <w:p>
            <w:pPr>
              <w:spacing w:after="0"/>
              <w:rPr>
                <w:sz w:val="11"/>
                <w:szCs w:val="11"/>
                <w:color w:val="auto"/>
              </w:rPr>
            </w:pPr>
          </w:p>
        </w:tc>
        <w:tc>
          <w:tcPr>
            <w:tcW w:w="48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13. LOYALTY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has customer loyalty programs where retail customers accumulate points for each dollar of spending, net of tax. These points are recorded as a contractual liability until customers redeem their points for discounts on eligible products as part of an in-store sales transaction. In addition, the Company records a performance obligation as a reduction of revenue based on the estimated probability of point obligation incurred.</w:t>
      </w:r>
    </w:p>
    <w:p>
      <w:pPr>
        <w:spacing w:after="0" w:line="176"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18"/>
          <w:szCs w:val="18"/>
          <w:color w:val="auto"/>
        </w:rPr>
        <w:t>The Company’s loyalty programs have a calculated standalone selling price that ranges between $0.03</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and $0.06</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per loyalty point. Upon redemption, the loyalty programs’ obligation is relieved, and the offset is recorded as revenue. The Company estimates that 20% of points will not be redeemed (breakage) prior to their six-month expiration dates. The Company continues to evaluate breakage and redemption values to determine the standalone selling price.</w:t>
      </w:r>
    </w:p>
    <w:p>
      <w:pPr>
        <w:spacing w:after="0" w:line="198" w:lineRule="exact"/>
        <w:rPr>
          <w:sz w:val="20"/>
          <w:szCs w:val="20"/>
          <w:color w:val="auto"/>
        </w:rPr>
      </w:pPr>
    </w:p>
    <w:p>
      <w:pPr>
        <w:jc w:val="both"/>
        <w:ind w:left="660"/>
        <w:spacing w:after="0" w:line="217" w:lineRule="auto"/>
        <w:rPr>
          <w:sz w:val="20"/>
          <w:szCs w:val="20"/>
          <w:color w:val="auto"/>
        </w:rPr>
      </w:pPr>
      <w:r>
        <w:rPr>
          <w:rFonts w:ascii="Times New Roman" w:cs="Times New Roman" w:eastAsia="Times New Roman" w:hAnsi="Times New Roman"/>
          <w:sz w:val="18"/>
          <w:szCs w:val="18"/>
          <w:color w:val="auto"/>
        </w:rPr>
        <w:t>As of March 31, 2025, there were approximately 165,000,000</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points outstanding with an approximate value of $6,883. As of December 31, 2024, there were approximately 150,000,000</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points outstanding with an approximate value of $7,449. Such balances are included in Accrued Liabilities on the Company's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9627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16" w:lineRule="exact"/>
        <w:rPr>
          <w:sz w:val="20"/>
          <w:szCs w:val="20"/>
          <w:color w:val="auto"/>
        </w:rPr>
      </w:pPr>
    </w:p>
    <w:p>
      <w:pPr>
        <w:ind w:left="120" w:hanging="94"/>
        <w:spacing w:after="0"/>
        <w:tabs>
          <w:tab w:leader="none" w:pos="12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Such amount not in Thousands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14.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accordance with ASC 810, the Company consolidates through the variable interest entity (“VIE”) model. The following table presents the summarized financial information about the Company’s consolidated VIEs, which are included in the Company's Condensed Consolidated Balance Sheets as of March 31, 2025 and December 31, 2024.</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 w:type="dxa"/>
            <w:vAlign w:val="bottom"/>
          </w:tcPr>
          <w:p>
            <w:pPr>
              <w:spacing w:after="0"/>
              <w:rPr>
                <w:sz w:val="20"/>
                <w:szCs w:val="20"/>
                <w:color w:val="auto"/>
              </w:rPr>
            </w:pPr>
          </w:p>
        </w:tc>
        <w:tc>
          <w:tcPr>
            <w:tcW w:w="16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41"/>
        </w:trPr>
        <w:tc>
          <w:tcPr>
            <w:tcW w:w="60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57"/>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w:t>
            </w:r>
          </w:p>
        </w:tc>
      </w:tr>
      <w:tr>
        <w:trPr>
          <w:trHeight w:val="24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26,555</w:t>
            </w:r>
          </w:p>
        </w:tc>
      </w:tr>
      <w:tr>
        <w:trPr>
          <w:trHeight w:val="40"/>
        </w:trPr>
        <w:tc>
          <w:tcPr>
            <w:tcW w:w="6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63"/>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31,492</w:t>
            </w:r>
          </w:p>
        </w:tc>
      </w:tr>
      <w:tr>
        <w:trPr>
          <w:trHeight w:val="24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5,903</w:t>
            </w:r>
          </w:p>
        </w:tc>
      </w:tr>
      <w:tr>
        <w:trPr>
          <w:trHeight w:val="40"/>
        </w:trPr>
        <w:tc>
          <w:tcPr>
            <w:tcW w:w="6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64"/>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attributable to Verano Holdings Corp.</w:t>
            </w: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r>
      <w:tr>
        <w:trPr>
          <w:trHeight w:val="24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r>
    </w:tbl>
    <w:p>
      <w:pPr>
        <w:spacing w:after="0" w:line="3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Consolidated Variable Interest Entities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Consolidated VIEs occur when (a) the Company closes an acquisition while the state has not finalized the transfer of the cannabis license or (b) the Company owns an equity interest in a joint venture, which it exercises control over.</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Consolidation occurs on the effective date of the purchase agreement, or in the case of joint venture VIEs, on the effective date of a limited liability company agreement governing the applicable joint venture, and an MSA. The MSA grants the management company, Verano, the ability to make business operating decisions, manage and staff employees, determine product mix, and the authority to direct allocation of cash. The MSA or the limited liability company agreement also allows Verano to limit distributions of the entity at Verano’s discretion. Certain states may limit the distribution or transfer of cash until license transfer.</w:t>
      </w:r>
    </w:p>
    <w:p>
      <w:pPr>
        <w:spacing w:after="0" w:line="183"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has entered into financing arrangements with certain VIEs to provide funding for potential capital expenditures including, but not limited to, the construction of dispensaries and other facilities.</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applies ASC 810-10-15 to determine control of the legal entity. With respect to VIEs acquired via acquisition, the purchase agreements limit the sellers involvement in future operations, and their risks of loss. With respect to joint venture VIEs, the limited liability company agreements limit the partners’ involvement in future operations and control over financial decisions, including distributions. In addition, Verano enters into an MSA with the legal entity that grants the Company strategic decision-making ability of the business operations.</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is involved in all qualitative and quantitative aspects of each consolidated VIE, such as but not limited to, software choices, procurement, staffing and payroll, advertising, and use of cash flow. With respect to VIEs acquired via acquisition, the Company absorbs all risk of loss and receives expected future returns based on the purchase agreement and MSA, resulting in Verano being the primary beneficiary.</w:t>
      </w:r>
    </w:p>
    <w:p>
      <w:pPr>
        <w:spacing w:after="0" w:line="17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Verano does not fully own all entities consolidated under ASC 810 and records a non-controlling interest for such non-owned portion in the Unaudited Interim Condensed Consolidated Financial Statements. The income of less-than-wholly owned entities is attributed to non-controlling interest and Verano based on the contractual arrangements between the other interest holders and Verano, or, in the absence of contractual arrangements, on a pro rata basis based on relative ownership percentage. As an exception to the aforementioned attribution method, during periods in which a less-than-wholly owned entity records an accumulated deficit, the net losses of the less-than-wholly owned subsidiary are, generally, attributed entirely to Verano.</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15.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applies fair value accounting for all financial assets and liabilities that are recognized or disclosed at fair value in the Consolidated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credit-risk.</w:t>
      </w:r>
    </w:p>
    <w:p>
      <w:pPr>
        <w:spacing w:after="0" w:line="187"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assets or liabilities;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quoted prices that are observable for the asset or liability, either directly or indirectly;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Inputs for the asset or liability that are not based on observable market data.</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accounts payable, accrued liabilities, debt, and acquisition consideration payable.</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For the Company’s long-term debt (which primarily consists of a credit facility and mortgage loans), for which there were no quoted market prices of active trading markets, it was not practicable to estimate the fair value of these financial instruments. The carrying amount of debt as of March 31, 2025 and December 31, 2024 was $420,628 and $413,849, which included $16,800 and $18,153, respectively, of short-term debt due within one year.</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Financial instruments recorded at fair value are classified using a fair value hierarchy that reflects the significance of the inputs to fair value measurements. The fair value of the Company’s financial instruments associated with each of the three levels of the hierarchy are:</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0"/>
        </w:trPr>
        <w:tc>
          <w:tcPr>
            <w:tcW w:w="40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7"/>
        </w:trPr>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0"/>
        </w:trPr>
        <w:tc>
          <w:tcPr>
            <w:tcW w:w="40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57"/>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84,220</w:t>
            </w: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Consideration Payable</w:t>
            </w: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40"/>
        </w:trPr>
        <w:tc>
          <w:tcPr>
            <w:tcW w:w="40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9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84,220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83,607</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0"/>
        </w:trPr>
        <w:tc>
          <w:tcPr>
            <w:tcW w:w="66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60" w:type="dxa"/>
            <w:vAlign w:val="bottom"/>
          </w:tcPr>
          <w:p>
            <w:pPr>
              <w:spacing w:after="0"/>
              <w:rPr>
                <w:sz w:val="3"/>
                <w:szCs w:val="3"/>
                <w:color w:val="auto"/>
              </w:rPr>
            </w:pPr>
          </w:p>
        </w:tc>
      </w:tr>
      <w:tr>
        <w:trPr>
          <w:trHeight w:val="237"/>
        </w:trPr>
        <w:tc>
          <w:tcPr>
            <w:tcW w:w="6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0"/>
                <w:szCs w:val="20"/>
                <w:color w:val="auto"/>
              </w:rPr>
            </w:pPr>
          </w:p>
        </w:tc>
        <w:tc>
          <w:tcPr>
            <w:tcW w:w="18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0"/>
        </w:trPr>
        <w:tc>
          <w:tcPr>
            <w:tcW w:w="660" w:type="dxa"/>
            <w:vAlign w:val="bottom"/>
          </w:tcPr>
          <w:p>
            <w:pPr>
              <w:spacing w:after="0"/>
              <w:rPr>
                <w:sz w:val="3"/>
                <w:szCs w:val="3"/>
                <w:color w:val="auto"/>
              </w:rPr>
            </w:pPr>
          </w:p>
        </w:tc>
        <w:tc>
          <w:tcPr>
            <w:tcW w:w="40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60" w:type="dxa"/>
            <w:vAlign w:val="bottom"/>
          </w:tcPr>
          <w:p>
            <w:pPr>
              <w:spacing w:after="0"/>
              <w:rPr>
                <w:sz w:val="3"/>
                <w:szCs w:val="3"/>
                <w:color w:val="auto"/>
              </w:rPr>
            </w:pPr>
          </w:p>
        </w:tc>
      </w:tr>
      <w:tr>
        <w:trPr>
          <w:trHeight w:val="257"/>
        </w:trPr>
        <w:tc>
          <w:tcPr>
            <w:tcW w:w="660" w:type="dxa"/>
            <w:vAlign w:val="bottom"/>
          </w:tcPr>
          <w:p>
            <w:pPr>
              <w:spacing w:after="0"/>
              <w:rPr>
                <w:sz w:val="22"/>
                <w:szCs w:val="22"/>
                <w:color w:val="auto"/>
              </w:rPr>
            </w:pPr>
          </w:p>
        </w:tc>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87,796</w:t>
            </w:r>
          </w:p>
        </w:tc>
        <w:tc>
          <w:tcPr>
            <w:tcW w:w="760" w:type="dxa"/>
            <w:vAlign w:val="bottom"/>
          </w:tcPr>
          <w:p>
            <w:pPr>
              <w:spacing w:after="0"/>
              <w:rPr>
                <w:sz w:val="22"/>
                <w:szCs w:val="22"/>
                <w:color w:val="auto"/>
              </w:rPr>
            </w:pPr>
          </w:p>
        </w:tc>
      </w:tr>
      <w:tr>
        <w:trPr>
          <w:trHeight w:val="243"/>
        </w:trPr>
        <w:tc>
          <w:tcPr>
            <w:tcW w:w="66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Consideration Payable</w:t>
            </w: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760" w:type="dxa"/>
            <w:vAlign w:val="bottom"/>
          </w:tcPr>
          <w:p>
            <w:pPr>
              <w:spacing w:after="0"/>
              <w:rPr>
                <w:sz w:val="21"/>
                <w:szCs w:val="21"/>
                <w:color w:val="auto"/>
              </w:rPr>
            </w:pPr>
          </w:p>
        </w:tc>
      </w:tr>
      <w:tr>
        <w:trPr>
          <w:trHeight w:val="41"/>
        </w:trPr>
        <w:tc>
          <w:tcPr>
            <w:tcW w:w="660" w:type="dxa"/>
            <w:vAlign w:val="bottom"/>
          </w:tcPr>
          <w:p>
            <w:pPr>
              <w:spacing w:after="0"/>
              <w:rPr>
                <w:sz w:val="3"/>
                <w:szCs w:val="3"/>
                <w:color w:val="auto"/>
              </w:rPr>
            </w:pPr>
          </w:p>
        </w:tc>
        <w:tc>
          <w:tcPr>
            <w:tcW w:w="40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60" w:type="dxa"/>
            <w:vAlign w:val="bottom"/>
          </w:tcPr>
          <w:p>
            <w:pPr>
              <w:spacing w:after="0"/>
              <w:rPr>
                <w:sz w:val="3"/>
                <w:szCs w:val="3"/>
                <w:color w:val="auto"/>
              </w:rPr>
            </w:pPr>
          </w:p>
        </w:tc>
      </w:tr>
      <w:tr>
        <w:trPr>
          <w:trHeight w:val="290"/>
        </w:trPr>
        <w:tc>
          <w:tcPr>
            <w:tcW w:w="660" w:type="dxa"/>
            <w:vAlign w:val="bottom"/>
          </w:tcPr>
          <w:p>
            <w:pPr>
              <w:spacing w:after="0"/>
              <w:rPr>
                <w:sz w:val="24"/>
                <w:szCs w:val="24"/>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86,861</w:t>
            </w:r>
          </w:p>
        </w:tc>
        <w:tc>
          <w:tcPr>
            <w:tcW w:w="76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871"/>
        </w:trPr>
        <w:tc>
          <w:tcPr>
            <w:tcW w:w="6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29"/>
        </w:trPr>
        <w:tc>
          <w:tcPr>
            <w:tcW w:w="660" w:type="dxa"/>
            <w:vAlign w:val="bottom"/>
            <w:tcBorders>
              <w:bottom w:val="single" w:sz="8" w:color="9A9A9A"/>
            </w:tcBorders>
          </w:tcPr>
          <w:p>
            <w:pPr>
              <w:spacing w:after="0"/>
              <w:rPr>
                <w:sz w:val="11"/>
                <w:szCs w:val="11"/>
                <w:color w:val="auto"/>
              </w:rPr>
            </w:pPr>
          </w:p>
        </w:tc>
        <w:tc>
          <w:tcPr>
            <w:tcW w:w="40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2022 Credit Agreement</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George Archos, the Chairman, Chief Executive Officer of the Company, participated in the 2022 Credit Agreement as a lender funding $1,000 of the original $350,000 principal amount. Mr. Archos is excluded from certain approval rights of the lenders and any penalties and fees due to Mr. Archos under the 2022 Credit Agreement are immaterial to the Company.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Two Pointo</w:t>
      </w:r>
    </w:p>
    <w:p>
      <w:pPr>
        <w:spacing w:after="0" w:line="227"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In October 2022, the Company entered into a conditional management and services agreements with each of Americana Dream, LLC and Green Therapy, LLC, operators of dispensaries in Illinois pursuant to social equity licenses issued by Illinois regulatory authorities (together, the “LLCs”), and in 2023 the Company received an aggregate of $10 for services rendered under the agreements. The Company sold products to the LLCs and two associated entities on a wholesale basis in the aggregate amount of $854, net of discounts, in the first quarter of 2024. As of December 31, 2024, the amount due from the LLCs and two associated entities was $552. Two Pointo, LLC (“Two Point”) has contractual rights to purchase ownership interests in the LLCs and associated entities, subject to submitting a request for and receiving applicable Illinois regulatory approvals and other conditions. The existing owners of the LLCs and associated entities will maintain ownership interests together with Two Point. In 2023, Darren Weiss, the Company’s President, received in connection with application support services rendered to an LLC in 2019, (i) a 2.73% profit interest in Two Point subject to Two Point’s purchase of ownership interests in the LLCs, and (ii) a profit interest in Two Point of</w:t>
      </w:r>
    </w:p>
    <w:p>
      <w:pPr>
        <w:spacing w:after="0" w:line="6"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0.30%, and David Spreckman, the Company’s Chief Marketing Officer, received a profit interest in Two Point of 0.30% for services. All profit interests issued to Messrs. Weiss and Spreckman were voluntarily forfeited in 2024 as if they were never granted. Maria Fragias, an immediate family member of George Archos, the Company’s Chairman and Chief Executive Officer, is the beneficiary of a trust that held a 7.92% ownership interest and a 3.95% profit interest in Two Point. During the year ended December 31, 2024, the trust for which Maria Fragias was a beneficiary, divested all ownership and profit interests in Two Point. To the Company's knowledge, none of the trust or such persons received any distributions, payments, or proceeds from Two Point.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leases real property for a retail dispensary in Aurora, Illinois from 740 Rte. 59, LLC (“740”). Pursuant to the lease agreement, the Company made payments totaling $46 in the first quarter of 2024 and $46 during the first quarter of 2025, which payments consist of base rent, real estate taxes and customary tenant charges. George Archos, the Company’s Chief Executive Officer, holds an indirect 50% ownership interest in 740. Pursuant to the lease agreement, the initial term expires on June 30, 2030.</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leases real property for a retail dispensary in Lombard, Illinois from 783 Butterfield LLC (“783”). Pursuant to the lease agreement, the Company made payments to 783 totaling $91 in the first quarter of 2024 and $92 during the first quarter of 2025, which payments consist of base rent, real estate taxes and customary tenant charges. George Archos, the Company’s Chief Executive Officer, holds a 50% indirect ownership interest in 783. Pursuant to the lease agreement, the initial term expires on January 11, 2031.</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Sweed</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High Tech Holdings, Inc. (“Sweed”) provides point of sale software systems to retail cannabis businesses under the names “Sweed” and “Leaftrade.” Sweed provides these software systems to the Company. For these services the Company paid Sweed $775 during the three months ended March 31, 2025 and $1,382 during the year ended December 31, 2024. GP Management Group, LLC, an entity beneficially owned and controlled by George Archos, the Company's Chief Executive Officer, held an ownership interest of less than 1% in Sweed as of March 31, 2025.</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to determine if events or transactions occurring through the filing date of this Form 10-Q require adjustment to or disclosure in the Company’s Unaudited Interim Condensed Consolidated Financial Statements. There were no events that require adjustment to or disclosure in the Company’s Unaudited Interim Condensed Consolidated Financial Statements, except as disclosed below.</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Resignation of Chief Financial Officer</w:t>
      </w:r>
    </w:p>
    <w:p>
      <w:pPr>
        <w:spacing w:after="0" w:line="22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On April 14, 2025, the Company announced that Brett Summerer resigned as Chief Financial Officer of the Company. At the time of Mr. Summerer’s resignation, the Company and Mr. Summerer entered into a Resignation Agreement and General Release setting forth the terms of his separation of service with the Company which was filed as Exhibit 10.1 to our Current Report on Form 8-K filed on April 14, 2025. Pursuant to the terms of the Resignation Agreement and General Release, Mr. Summerer resigned from all his positions as an officer, director, manager and employee of the Company and its subsidiaries and controlled affiliates effective immediately after the close of business on April 11, 2025.</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Appointment of Chief Financial Officer</w:t>
      </w:r>
    </w:p>
    <w:p>
      <w:pPr>
        <w:spacing w:after="0" w:line="22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On April 14, 2025, the Company announced that Richard Tarapchak was promoted and appointed as the Chief Financial Officer of the Company and its subsidiaries and was designated as the Company’s Principal Financial Officer effective as of April 11, 2025. There are no arrangements or understandings between Mr. Tarapchak and any other person pursuant to which he was appointed Chief Financial Officer of the Company. Mr. Tarapchak does not have any family relationships with any director or other executive officer of the Company, and there are no transactions in which Mr. Tarapchak has an interest requiring disclosure under Item 404(a) of Regulation S-K.</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management discussion and analysis (this “</w:t>
      </w:r>
      <w:r>
        <w:rPr>
          <w:rFonts w:ascii="Times New Roman" w:cs="Times New Roman" w:eastAsia="Times New Roman" w:hAnsi="Times New Roman"/>
          <w:sz w:val="18"/>
          <w:szCs w:val="18"/>
          <w:b w:val="1"/>
          <w:bCs w:val="1"/>
          <w:i w:val="1"/>
          <w:iCs w:val="1"/>
          <w:color w:val="auto"/>
        </w:rPr>
        <w:t>MD&amp;A</w:t>
      </w:r>
      <w:r>
        <w:rPr>
          <w:rFonts w:ascii="Times New Roman" w:cs="Times New Roman" w:eastAsia="Times New Roman" w:hAnsi="Times New Roman"/>
          <w:sz w:val="18"/>
          <w:szCs w:val="18"/>
          <w:i w:val="1"/>
          <w:iCs w:val="1"/>
          <w:color w:val="auto"/>
        </w:rPr>
        <w:t>”) of the financial condition and results of operations of the Company is for the three months ended March 31, 2025 and March 31, 2024. It is supplemental to, and should be read in conjunction with, the Company’s Unaudited Interim Condensed Consolidated Financial Statements and the accompanying notes for the three months ended March 31, 2025 and with the Company’s Audited Consolidated Financial Statements and the accompanying notes for the years ended December 31, 2024, 2023 and 2022 included in the Form 10-K. The financial statements referenced in this MD&amp;A are prepared in accordance with GAAP. Financial information presented in this MD&amp;A is presented in United States dollars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or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i w:val="1"/>
          <w:iCs w:val="1"/>
          <w:color w:val="auto"/>
        </w:rPr>
        <w:t>”) and expressed in thousands, unless otherwise indicated. This MD&amp;A contains forward-looking statements that involve risks and uncertainties. Our actual results could differ materially from those projected, forecasted, or expected in these forward-looking statements as a result of various factors, including, but not limited to, those discussed in the Form 10-K and this Form 10-Q. See “Cautionary Statement Regarding Forward-Looking Statements” above, “Risk Factors” in Part I, Item 1A above and “Risk Factors” in the Form 10-K. The Company's management believes the assumptions underlying the Company’s financial statements and accompanying notes are reasonable. However, the Company’s financial statements and accompanying notes may not be an indication of the Company's financial condition and results of operations in the future.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Verano, one of the U.S. cannabis industry’s leading companies based on historical revenue, geographical scope and brand performance, is a vertically integrated, multi-state operator embracing a mission of saying </w:t>
      </w:r>
      <w:r>
        <w:rPr>
          <w:rFonts w:ascii="Times New Roman" w:cs="Times New Roman" w:eastAsia="Times New Roman" w:hAnsi="Times New Roman"/>
          <w:sz w:val="18"/>
          <w:szCs w:val="18"/>
          <w:i w:val="1"/>
          <w:iCs w:val="1"/>
          <w:color w:val="auto"/>
        </w:rPr>
        <w:t>Yes</w:t>
      </w:r>
      <w:r>
        <w:rPr>
          <w:rFonts w:ascii="Times New Roman" w:cs="Times New Roman" w:eastAsia="Times New Roman" w:hAnsi="Times New Roman"/>
          <w:sz w:val="18"/>
          <w:szCs w:val="18"/>
          <w:color w:val="auto"/>
        </w:rPr>
        <w:t xml:space="preserve"> to plant progress and the bold exploration of cannabis. An operator of licensed cannabis cultivation, processing, wholesale distribution and retail facilities, our goal is the ongoing development of communal wellness by providing responsible access to regulated medical and adult use cannabis products to discerning customers. As of May 5, 2025, through our subsidiaries and affiliates we operate businesses in 13 states, including 155 retail dispensaries and 15 production facilities with over 1.1 million square feet of cultivation capacity. We produce a wide variety of high-quality cannabis products sold under our portfolio of consumer brands, including Encore™, Avexia™, MÜV™, Savvy™, (the) Essence™, BITS™ and Verano™. We also design, build and operate branded retail environments including Zen Leaf™ and MÜV™ dispensaries that deliver a cannabis shopping experience in both medical and adult use markets.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the permissive regulatory environment of medical, and in some cases, also adult use (i.e., recreational) cannabis, at the state level, it remains illegal under U.S. federal law to cultivate, manufacture, distribute, sell or possess cannabis in the U.S. Because federal law prohibits transporting any federally restricted substance across state lines, cannabis cannot be transported across state lines. As a result of current federal law prohibitions, the U.S. cannabis industry is conducted on a state-by-state basis. To date, in the U.S. 38 states plus the District of Columbia and the U.S. territories of Puerto Rico, Guam, the Commonwealth of Northern Marina Islands, and the U.S. Virgin Islands have authorized comprehensive medical cannabis programs, 24 states plus the District of Columbia and the U.S. territories of Guam, the Commonwealth of Northern Mariana Islands, and the U.S. Virgin Islands have authorized comprehensive programs for medical and adult use (i.e. recreational) cannabis, and 6 states allow the use of low tetrahydrocannabinol (THC) and high cannabidiol (CBD) products for specified medical uses. Verano operates within states where cannabis use, medical or both medical and adult use, has been approved by state and local regulatory bodies. Strict compliance with state and local laws with respect to cannabis may neither absolve the Company of liability under U.S. federal law, nor may it provide a defense to any federal proceeding which may be brought against the Company or any of its subsidiaries.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strategy is to vertically integrate as a single cohesive company in multiple states through the consolidation of seed-to-sale cultivating, manufacturing, distributing, and dispensing cannabis brands and products at scale. Our cultivation, processing and wholesale distribution of cannabis consumer packaged goods are designed to guarantee shelf-space in our national retail dispensary chains, as well as to develop and foster long term wholesale supply relationships with third-party retail operators. Our model includes geographic diversity by establishing a footprint to allow us to adapt to changes in both industry and market conditions.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United States government has recently adopted new approaches to trade policy and has announced tariffs on certain foreign goods and the possibility of significant additional tariff increases or expansions of tariffs. The timing and scope of such tariffs by the United States and retaliatory tariffs by other countries in response to such tariffs is currently uncertain. Such tariffs could create supply chain disruptions or increased pricing of procured materials, which could impact our current and expansion strategy as well as our business, operating results and financial condition. See </w:t>
      </w:r>
      <w:r>
        <w:rPr>
          <w:rFonts w:ascii="Times New Roman" w:cs="Times New Roman" w:eastAsia="Times New Roman" w:hAnsi="Times New Roman"/>
          <w:sz w:val="18"/>
          <w:szCs w:val="18"/>
          <w:i w:val="1"/>
          <w:iCs w:val="1"/>
          <w:color w:val="auto"/>
        </w:rPr>
        <w:t>“Risk Factors” in Part I, 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1A </w:t>
      </w:r>
      <w:r>
        <w:rPr>
          <w:rFonts w:ascii="Times New Roman" w:cs="Times New Roman" w:eastAsia="Times New Roman" w:hAnsi="Times New Roman"/>
          <w:sz w:val="18"/>
          <w:szCs w:val="18"/>
          <w:color w:val="auto"/>
        </w:rPr>
        <w:t>below.</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RESULTS OF OPERATIONS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following presents selected financial data derived from the (i) Unaudited Interim Condensed Consolidated Financial Statements for the three months ended March 31, 2025 and 2024 and (ii) the Condensed Consolidated Balance Sheets as of March 31, 2025 and December 31, 2024, and should be read in conjunction with the Unaudited Interim Condensed Consolidated Financial Statements and accompanying notes presented in Item 1 of this Form 10-Q. The selected Unaudited Interim Condensed Consolidated financial information below may not be indicative of the Company's future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2025, as Compared to Three Months Ended March 31, 2024</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40" w:type="dxa"/>
            <w:vAlign w:val="bottom"/>
            <w:gridSpan w:val="7"/>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40"/>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41"/>
        </w:trPr>
        <w:tc>
          <w:tcPr>
            <w:tcW w:w="66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209,809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w:t>
            </w:r>
          </w:p>
        </w:tc>
        <w:tc>
          <w:tcPr>
            <w:tcW w:w="0" w:type="dxa"/>
            <w:vAlign w:val="bottom"/>
          </w:tcPr>
          <w:p>
            <w:pPr>
              <w:spacing w:after="0"/>
              <w:rPr>
                <w:sz w:val="1"/>
                <w:szCs w:val="1"/>
                <w:color w:val="auto"/>
              </w:rPr>
            </w:pPr>
          </w:p>
        </w:tc>
      </w:tr>
      <w:tr>
        <w:trPr>
          <w:trHeight w:val="24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99,581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(13,379)</w:t>
            </w:r>
          </w:p>
        </w:tc>
        <w:tc>
          <w:tcPr>
            <w:tcW w:w="0" w:type="dxa"/>
            <w:vAlign w:val="bottom"/>
          </w:tcPr>
          <w:p>
            <w:pPr>
              <w:spacing w:after="0"/>
              <w:rPr>
                <w:sz w:val="1"/>
                <w:szCs w:val="1"/>
                <w:color w:val="auto"/>
              </w:rPr>
            </w:pPr>
          </w:p>
        </w:tc>
      </w:tr>
      <w:tr>
        <w:trPr>
          <w:trHeight w:val="40"/>
        </w:trPr>
        <w:tc>
          <w:tcPr>
            <w:tcW w:w="6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Verano Holdings Corp. &amp; Subsidiaries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(11,515)</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0" w:type="dxa"/>
            <w:vAlign w:val="bottom"/>
          </w:tcPr>
          <w:p>
            <w:pPr>
              <w:spacing w:after="0"/>
              <w:rPr>
                <w:sz w:val="1"/>
                <w:szCs w:val="1"/>
                <w:color w:val="auto"/>
              </w:rPr>
            </w:pPr>
          </w:p>
        </w:tc>
      </w:tr>
      <w:tr>
        <w:trPr>
          <w:trHeight w:val="24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 basic &amp; diluted</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net of Discounts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Revenues, net of discounts, for the three months ended March 31, 2025 was $209,809, a decrease of $(11,497) or (5.2)%, compared to revenue of $221,306 for the three months ended March 31, 2024. The period-over-period decrease in revenues, net of discounts for the three months ended March 31, 2025 were primarily driven by continued increased competition and promotional activity in select retail markets, specifically in New Jersey and Illinois which is consistent with other multi-state cannabis operators, </w:t>
      </w:r>
      <w:r>
        <w:rPr>
          <w:rFonts w:ascii="Times New Roman" w:cs="Times New Roman" w:eastAsia="Times New Roman" w:hAnsi="Times New Roman"/>
          <w:sz w:val="18"/>
          <w:szCs w:val="18"/>
          <w:color w:val="242424"/>
        </w:rPr>
        <w:t>which was partially offset</w:t>
      </w:r>
      <w:r>
        <w:rPr>
          <w:rFonts w:ascii="Times New Roman" w:cs="Times New Roman" w:eastAsia="Times New Roman" w:hAnsi="Times New Roman"/>
          <w:sz w:val="18"/>
          <w:szCs w:val="18"/>
          <w:color w:val="auto"/>
        </w:rPr>
        <w:t xml:space="preserve"> by the Ohio adult-use program launch during August 2024 and acquisition activity during the year ended December 31, 2024. During the three months ended March 31, 2025, the Company opened two new stores, one in Connecticut and one in Florida. Retail revenue for the three months ended March 31, 2025 was approximately 68.0% of total revenue compared to 66.2% of total revenue for the three months ended March 31, 2024, in each case, excluding intersegment eliminations. Cultivation (wholesale) revenues, net of discounts, for the three months ended March 31, 2025 decreased when compared to the three months ended were March 31, 2024 primarily due to reduced third-party wholesale sales in the New Jersey and Illinois markets which attributed to decreased production output and sales of cannabis flower and cannabis related products. Cultivation (wholesale) revenue for the three months ended March 31, 2025 was 32.0% of total revenue compared to 33.8% of total revenue for the three months ended March 31, 2024, in each case, excluding intersegment eliminations.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for the three months ended March 31, 2025 was $99,581, representing a gross profit margin of 47.5%. This is compared to gross profit for the three months ended March 31, 2024 of $112,960, which represented a gross profit margin of 51.0%. The decrease in gross profit during the three months ended March 31, 2025 compared to the three months ended March 31, 2024, was primarily attributable to overall top-line revenue decline coupled with increased promotional activity in established markets.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Loss attributable to the Company for the three months ended March 31, 2025 was $(11,515), an increase of $6,693, compared to a net loss of $(4,822) for the three months ended March 31, 2024. The increase was driven by an overall decline in top-line revenues, net of discounts and gross profit coupled with an increase in the provision for income taxes for the three months ended March 31, 2025 compared to the three months ended March 31,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80" w:type="dxa"/>
            <w:vAlign w:val="bottom"/>
            <w:gridSpan w:val="7"/>
          </w:tcPr>
          <w:p>
            <w:pPr>
              <w:ind w:left="4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41"/>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40"/>
        </w:trPr>
        <w:tc>
          <w:tcPr>
            <w:tcW w:w="66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110,228</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108,346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8"/>
              </w:rPr>
              <w:t>1,882</w:t>
            </w: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84,579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(5,710)</w:t>
            </w: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8"/>
              </w:rPr>
              <w:t>6,848</w:t>
            </w: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(5,872)</w:t>
            </w:r>
          </w:p>
        </w:tc>
        <w:tc>
          <w:tcPr>
            <w:tcW w:w="0" w:type="dxa"/>
            <w:vAlign w:val="bottom"/>
          </w:tcPr>
          <w:p>
            <w:pPr>
              <w:spacing w:after="0"/>
              <w:rPr>
                <w:sz w:val="1"/>
                <w:szCs w:val="1"/>
                <w:color w:val="auto"/>
              </w:rPr>
            </w:pPr>
          </w:p>
        </w:tc>
      </w:tr>
      <w:tr>
        <w:trPr>
          <w:trHeight w:val="41"/>
        </w:trPr>
        <w:tc>
          <w:tcPr>
            <w:tcW w:w="66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 net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goods sold, net includes the costs directly attributable to cultivating and processing cannabis and for retail purchases of finished goods, such as flower, edibles, and concentrates. Cost of goods sold, net for the three months ended March 31, 2025 was $110,228, an increase of $1,882 or 1.7%, as compared to the three months ended March 31, 2024. The increase was primarily driven by promotional activity and discounts within the retail markets, which has seen an increase in competition as well as pricing pressure.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(“SG&amp;A”) for the three months ended March 31, 2025 were $84,579, a decrease of $5,710 or 6.3%, compared to SG&amp;A expenses of $90,289 for the three months ended March 31, 2024. SG&amp;A expenses as a percentage of revenue was 40.3% and 40.8% for the three months ended March 31, 2025, and March 31, 2024, respectively. When comparing the three months ended March 31, 2025 to the three months ended March 31, 2024 the decrease was driven by a decrease in amortization coupled with ongoing efficiencies generated across the business. This is partially offset by additional SG&amp;A costs associated with new store openings related to the CC East Virginia and Cannabist AZ acquisitions when comparing the three months ended March 31, 2025 to the three months ended March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expense, net for the three months ended March 31, 2025, was $9,168, a decrease of $6,848 as compared to $16,016 for the three months ended March 31, 2024. The other expense decrease was primarily due to less interest expense on our debt obligations coupled with a gain on deconsolidation relating to our Arkansas operations during January 2025, which no longer met the criteria for consolidation as a result of termination of contracts providing us with control over the applicable entity's operations, when comparing the three months ended March 31, 2025 to the three months ended March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is recognized based on the expected tax payable on the taxable income for the year, using tax rates enacted or substantively enacted at year-end. Income tax expense for the three months ended March 31, 2025, was $17,349, an increase of $5,872 or 51.2% primarily due to impacts of prior period return to provision adjustments when compared to the three months ended March 31,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by Segment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two reportable segments: (i) cultivation (wholesale) and (ii) retail. Due to the vertically integrated nature of its business, the Company reviews its revenue at the cultivation (wholesale) and retail levels while reviewing its operating results on a consolidated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revenues, net of discounts, by segment for the three months ended March 31, 2025 and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40"/>
        </w:trPr>
        <w:tc>
          <w:tcPr>
            <w:tcW w:w="49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net of Discounts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Cultivation (Wholesale)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86,120</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41"/>
        </w:trPr>
        <w:tc>
          <w:tcPr>
            <w:tcW w:w="49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168,807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168,588</w:t>
            </w:r>
          </w:p>
        </w:tc>
        <w:tc>
          <w:tcPr>
            <w:tcW w:w="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(33,402)</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41"/>
        </w:trPr>
        <w:tc>
          <w:tcPr>
            <w:tcW w:w="49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 net of Discounts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209,809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221,306</w:t>
            </w:r>
          </w:p>
        </w:tc>
        <w:tc>
          <w:tcPr>
            <w:tcW w:w="6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w:t>
            </w:r>
          </w:p>
        </w:tc>
        <w:tc>
          <w:tcPr>
            <w:tcW w:w="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Revenues, net of discounts, for the cultivation (wholesale) segment were $79,561 for the three months ended March 31, 2025, a decrease of $6,559 or 7.6%, compared to the three months ended March 31, 2024, in each case, excluding intersegment eliminations. The decrease in cultivation (wholesale) revenues, net of discounts, was primarily driven by reduced third-party wholesale sales in the New Jersey and Illinois markets which attributed to decreased production output and sales of cannabis flower and cannabis related products </w:t>
      </w:r>
      <w:r>
        <w:rPr>
          <w:rFonts w:ascii="Times New Roman" w:cs="Times New Roman" w:eastAsia="Times New Roman" w:hAnsi="Times New Roman"/>
          <w:sz w:val="18"/>
          <w:szCs w:val="18"/>
          <w:color w:val="242424"/>
        </w:rPr>
        <w:t>when comparing the three months ended</w:t>
      </w:r>
      <w:r>
        <w:rPr>
          <w:rFonts w:ascii="Times New Roman" w:cs="Times New Roman" w:eastAsia="Times New Roman" w:hAnsi="Times New Roman"/>
          <w:sz w:val="18"/>
          <w:szCs w:val="18"/>
          <w:color w:val="auto"/>
        </w:rPr>
        <w:t xml:space="preserve"> March 31, 2025 </w:t>
      </w:r>
      <w:r>
        <w:rPr>
          <w:rFonts w:ascii="Times New Roman" w:cs="Times New Roman" w:eastAsia="Times New Roman" w:hAnsi="Times New Roman"/>
          <w:sz w:val="18"/>
          <w:szCs w:val="18"/>
          <w:color w:val="242424"/>
        </w:rPr>
        <w:t>to the three months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ended </w:t>
      </w:r>
      <w:r>
        <w:rPr>
          <w:rFonts w:ascii="Times New Roman" w:cs="Times New Roman" w:eastAsia="Times New Roman" w:hAnsi="Times New Roman"/>
          <w:sz w:val="18"/>
          <w:szCs w:val="18"/>
          <w:color w:val="000000"/>
        </w:rPr>
        <w:t>March 31, 2024</w:t>
      </w:r>
      <w:r>
        <w:rPr>
          <w:rFonts w:ascii="Times New Roman" w:cs="Times New Roman" w:eastAsia="Times New Roman" w:hAnsi="Times New Roman"/>
          <w:sz w:val="18"/>
          <w:szCs w:val="18"/>
          <w:color w:val="242424"/>
        </w:rPr>
        <w: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Revenues, net of discounts for the retail segment were $168,807 for the three months ended March 31, 2025, an increase of $219 or 0.1%, compared to the three months ended March 31, 2024, in each case, excluding intersegment eliminations. The increase in retail revenues, net of discounts, was primarily driven by the Ohio adult-use program launch during August 2024, new store openings and acquisition activity during the year ended December 31, 2024 and after March 31, 2024, </w:t>
      </w:r>
      <w:r>
        <w:rPr>
          <w:rFonts w:ascii="Times New Roman" w:cs="Times New Roman" w:eastAsia="Times New Roman" w:hAnsi="Times New Roman"/>
          <w:sz w:val="18"/>
          <w:szCs w:val="18"/>
          <w:color w:val="242424"/>
        </w:rPr>
        <w:t>when comparing the three months ended</w:t>
      </w:r>
      <w:r>
        <w:rPr>
          <w:rFonts w:ascii="Times New Roman" w:cs="Times New Roman" w:eastAsia="Times New Roman" w:hAnsi="Times New Roman"/>
          <w:sz w:val="18"/>
          <w:szCs w:val="18"/>
          <w:color w:val="auto"/>
        </w:rPr>
        <w:t xml:space="preserve"> March 31, 2025 </w:t>
      </w:r>
      <w:r>
        <w:rPr>
          <w:rFonts w:ascii="Times New Roman" w:cs="Times New Roman" w:eastAsia="Times New Roman" w:hAnsi="Times New Roman"/>
          <w:sz w:val="18"/>
          <w:szCs w:val="18"/>
          <w:color w:val="242424"/>
        </w:rPr>
        <w:t>to the three months ended</w:t>
      </w:r>
      <w:r>
        <w:rPr>
          <w:rFonts w:ascii="Times New Roman" w:cs="Times New Roman" w:eastAsia="Times New Roman" w:hAnsi="Times New Roman"/>
          <w:sz w:val="18"/>
          <w:szCs w:val="18"/>
          <w:color w:val="auto"/>
        </w:rPr>
        <w:t xml:space="preserve"> March 31, 2024</w:t>
      </w:r>
      <w:r>
        <w:rPr>
          <w:rFonts w:ascii="Times New Roman" w:cs="Times New Roman" w:eastAsia="Times New Roman" w:hAnsi="Times New Roman"/>
          <w:sz w:val="18"/>
          <w:szCs w:val="18"/>
          <w:color w:val="242424"/>
        </w:rPr>
        <w:t>.</w:t>
      </w:r>
      <w:r>
        <w:rPr>
          <w:rFonts w:ascii="Times New Roman" w:cs="Times New Roman" w:eastAsia="Times New Roman" w:hAnsi="Times New Roman"/>
          <w:sz w:val="18"/>
          <w:szCs w:val="18"/>
          <w:color w:val="auto"/>
        </w:rPr>
        <w:t xml:space="preserve"> Additionally, the Company continued to see increased competition and promotional activity in select retail markets, specifically in New Jersey and Illinois which is consistent with other multi-state cannabis operators.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Drivers of Operational Performance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derives its revenue from both its cultivation (wholesale) business in which it cultivates, produces and sells cannabis products to third-party retail customers, and its retail business, in which it directly sells cannabis products to retail patients and consumers. For the three months ended March 31, 2025, approximately 32.0% of the Company’s revenue was generated from the cultivation (wholesale) business, excluding intersegment eliminations, and approximately 68.0% from the retail business, excluding intersegment eliminations. For the three months ended March 31, 2024, approximately 33.8% of revenue was generated from the cultivation (wholesale) business and approximately 66.2% from the retail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is revenue less cost of goods sold, net. Cost of goods sold, net includes the costs directly attributable to product sales and includes amounts paid for finished goods, such as flower, edibles, and concentrates, as well as packaging and other supplies, fees for services and processing, rent, utilities, and related costs. Cannabis costs are affected by various state regulations that limit the sourcing and procurement of cannabis product, which may create fluctuations in gross profit over comparative periods as the regulatory environment changes. Gross profit margin measures the Company’s gross profit as a percentage of revenue.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expansion and revenue growth strategy has taken priority and will continue to do so for the foreseeable future as it expands its footprint, by exploring new markets and opening or acquiring new dispensary locations, and scales production within certain markets. In the core markets in which the Company is already operational and, as the state markets mature, the Company anticipates that there will be pressure on margins in the cultivation (wholesale) and retail channels. The Company’s current production capacity has not been fully realized and it is expected that price compression at the cultivation (wholesale) level, will be partially offset by operational optimization.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expenses other than the cost of goods sold consist of selling costs to support customer relationships and to deliver product to the Company’s retail stores. It also includes a significant investment in the corporate infrastructure required to support ongoing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costs generally correlate to revenue. As a percentage of sales, selling costs are expected to increase slightly in currently operational markets as facility and market expansion occurs. The increase is expected to be driven primarily by the growth of the Company’s retail and cultivation (wholesale) channels and the ramp up from new retail openings.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SG&amp;A expenses also include costs incurred at the Company’s corporate offices, primarily related to back-office personnel costs, including salaries, incentive compensation, benefits, stock-based compensation and professional service costs. Going forward, SG&amp;A expenses are expected to continue in line with the Company’s expansion plans. Furthermore, the Company expects to continue to incur acquisition and transaction costs related to these expansion plans and could experience an increase in expenses related to recruiting and hiring talent, along with legal and professional fees associated with being a public-reporting company and publicly traded in Canada and a public-reporting company in the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jurisdictions in which it operates and, consequently, income tax expense is a function of the allocation of taxable income by jurisdiction and the various activities that impact the timing of taxable events. As the Company operates in the cannabis industry, it is subject to the limits of Section 280E of the Code under which the Company is only allowed to deduct expenses directly related to the sale of products. This results in permanent differences between ordinary and necessary business expenses deemed non-allowable under Section 280E of the Code and a higher effective tax rate than most industries. The Company has taken a position that it does not owe taxes attributable to the application of Section 280E of the Code.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FINANCING ACTIVITIES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2025 and December 31, 2024, the Company had total current liabilities of $167,644 and $197,968, respectively. As of March 31, 2025 and December 31, 2024, the Company had cash and cash equivalents of $84,220 and $87,796, respectively, to meet its current obligations. The Company had working capital of $193,497 as of March 31, 2025, an increase of working capital of $33,956 as compared to December 31, 2024. This increase in working capital was primarily driven by cash flows provided by operating activities which was largely offset by income tax payments made during the three months ended March 31, 2025.</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generates cash from revenues and deploys its capital to acquire and develop assets capable of producing additional revenues and earnings over both the immediate and long term. Capital is primarily being utilized for capital expenditures, facility improvements, strategic investment opportunities, product development and marketing, as well as customer, supplier, and investor and industry relations. The Company takes a cautious approach in allocating its capital to maximize its returns while ensuring appropriate liquidity. Given inflation and the uncertainty of the future economic environment, the Company has taken additional measures in monitoring and deploying its capital to minimize the potentially negative impact on its operations and expansion plans.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Requirements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short-term liquidity requirements consist primarily of funds necessary to pay for our acquisitions, to repay borrowings, maintain our operations and other general business needs. We believe that internally generated funds and other sources of liquidity discussed below will be sufficient to meet working capital needs, capital expenditures, and other business requirements for at least the next 12 months. We believe we will meet known or reasonably likely future cash requirements through the combination of cash generated from operating activities, available cash balances and available borrowings. If these sources of liquidity need to be augmented, additional cash requirements would likely be financed through the issuance of equity securities or additional borrowings; however, there can be no assurances that we will be able to obtain additional equity financing or debt financing on acceptable terms, or on terms similar to our existing financings, in the future.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long-term liquidity requirements consist primarily of completing additional acquisitions, scheduled debt payments and future payments of income tax payables, maintaining and expanding our operations and other general business needs. We expect to meet our long-term liquidity requirements through various sources of capital, which may include future debt or equity issuances, net cash provided by operations and other secured and unsecured borrowings. We believe that the foregoing sources of capital will provide sufficient funds for our operations, anticipated expansion and scheduled debt payments for the long-term. Our ability to fund our operating needs will depend on our future ability to continue to generate positive cash flow from operations and our ability to obtain debt or equity financing on acceptable terms.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2022, Verano and certain of its subsidiaries and affiliates, as the Borrowers, entered into the 2022 Credit Agreement with Chicago Atlantic, as administrative agent for the lenders, and the lenders party thereto, pursuant to which the lenders advanced the Borrowers a $350,000 senior secured term loan, and which also provides the Borrowers with the right, subject to conditions, to request an additional incremental term loan of up to $100,000; provided that the lenders elect to fund such incremental term loan. At funding, all the proceeds of the loans made under the 2022 Credit Agreement were used to repay the amounts owing under the Company's previous senior secured term loan credit facility. In connection with such repayment, such previous credit facility was terminated and is no longer in force or effect.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2022 Credit Agreement allows the Borrowers to (i) incur up to $120,000 of additional indebtedness from third-party lenders secured by real estate excluded as collateral under the 2022 Credit Agreement, (ii) incur additional mortgage financing from third-party lenders secured by real estate acquired after the initial funding of the 2022 Credit Agreement, and (iii) upon the SAFE Banking Act or similar legislation making banking services available to U.S. cannabis companies being passed by the United States Congress, incur up to $50,000 under a revolving credit facility from third-party lenders that is pari passu or subordinated to the 2022 Credit Agreement obligations, all of which are subject to customary conditions.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obligations under the 2022 Credit Agreement are secured by substantially all of the assets of the Borrowers, excluding vehicles, specified parcels of real estate and other customary exclusions. The 2022 Credit Agreement provides for a floating annual interest rate equal to the prime rate then in effect plus 6.50%, which rate may be increased by 3.00% upon an event of default that is not a material event of default or 6.00% upon a material event of default as provided in the 2022 Credit Agreement. The initially funded $350,000 loan requires scheduled amortization payments of $350 per month beginning in October 2023 with the remaining principal balance due in full on October 30, 2026.</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At any time, the Credit Agreement Borrowers may voluntarily prepay up to $100,000 of the principal balance, subject to a one-time $1,000 prepayment premium upon the first prepayment, and may prepay the remaining outstanding principal balance for a prepayment premium at varying rates based on the timing of any subsequent prepayments. The Borrowers may not voluntarily prepay more than $100,000 of the principal balance without prepaying the entire outstanding principal balance of the loan.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30, 2024, the Company made a Permitted Partial Optional Prepayment (as defined in the 2022 Credit Agreement) in the amount of $50,000 pursuant to the 2022 Credit Agreement and paid a $1,000 prepayment premium in connection therewith. In connection with such Permitted Partial Optional Prepayment, Chicago Atlantic and certain lenders agreed to (a) release certain Borrowers from their obligations under, and as parties to, the 2022 Credit Agreement and related agreements and (b) release all liens over such Borrowers’ property, including real estate, held by Chicago Atlantic for the benefit of the lenders, in each case, pursuant to a limited consent and waiver, dated as of April 29, 2024, by and among Borrowers, certain of the lenders party thereto and Chicago Atlantic.</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2022 Credit Agreement includes customary representations, warranties and covenants and customary events of default, including payment defaults, breaches of representations and warranties, covenant defaults, cross-defaults to material indebtedness, and events of bankruptcy and insolvency.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2022 Credit Agreement also includes customary negative covenants limiting the Credit Agreement Borrowers’ ability to incur additional indebtedness and grant liens, and the ability to enter into definitive documents or consummate acquisitions or dispositions that are not otherwise permitted thereunder, among others. Additionally, the 2022 Credit Agreement requires the Credit Agreement Borrowers to meet financial tests regarding minimum cash balances, minimum levels of Adjusted EBITDA (as defined in the 2022 Credit Agreement) and a minimum fixed charge coverage ratio.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the Company was in compliance with such financial covenants.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George Archos, the Chairman and Chief Executive Officer of the Company, participated in the 2022 Credit Agreement as a lender funding $1,000 of the $350,000 principal amount. Mr. Archos is excluded from certain approval rights of the lenders and any penalties and fees due to Mr. Archos under the 2022 Credit Agreement are immaterial to the Company.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Liabilities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U.S. income tax payable liabilities. These income tax payable liabilities will require payment from our liquidity sources, and we believe we have sufficient liquidity for both short-term and long-term payments of our income tax payable liabilities and in addition to our other obligations. The Company expects to retain additional cash from operations, due in part to the Company's treatment of Section 280E of the Code as not applying to limit its deduction of ordinary and necessary business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Uses of Cash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(Used in) Operating Activities, Investing and Financing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 operating, investing, and financing activities for the three months ended March 31, 2025 and 2024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1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c>
          <w:tcPr>
            <w:tcW w:w="1060" w:type="dxa"/>
            <w:vAlign w:val="bottom"/>
          </w:tcPr>
          <w:p>
            <w:pPr>
              <w:spacing w:after="0"/>
              <w:rPr>
                <w:sz w:val="20"/>
                <w:szCs w:val="20"/>
                <w:color w:val="auto"/>
              </w:rPr>
            </w:pPr>
          </w:p>
        </w:tc>
      </w:tr>
      <w:tr>
        <w:trPr>
          <w:trHeight w:val="41"/>
        </w:trPr>
        <w:tc>
          <w:tcPr>
            <w:tcW w:w="594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7"/>
        </w:trPr>
        <w:tc>
          <w:tcPr>
            <w:tcW w:w="59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w w:val="98"/>
              </w:rPr>
              <w:t>Change</w:t>
            </w:r>
          </w:p>
        </w:tc>
      </w:tr>
      <w:tr>
        <w:trPr>
          <w:trHeight w:val="40"/>
        </w:trPr>
        <w:tc>
          <w:tcPr>
            <w:tcW w:w="59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57"/>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31,041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(29,255)</w:t>
            </w: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100" w:type="dxa"/>
            <w:vAlign w:val="bottom"/>
          </w:tcPr>
          <w:p>
            <w:pPr>
              <w:spacing w:after="0"/>
              <w:rPr>
                <w:sz w:val="21"/>
                <w:szCs w:val="21"/>
                <w:color w:val="auto"/>
              </w:rPr>
            </w:pP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(9,699)</w:t>
            </w:r>
          </w:p>
        </w:tc>
        <w:tc>
          <w:tcPr>
            <w:tcW w:w="10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w:t>
            </w:r>
          </w:p>
        </w:tc>
      </w:tr>
      <w:tr>
        <w:trPr>
          <w:trHeight w:val="41"/>
        </w:trPr>
        <w:tc>
          <w:tcPr>
            <w:tcW w:w="59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(2,318)</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r>
      <w:tr>
        <w:trPr>
          <w:trHeight w:val="41"/>
        </w:trPr>
        <w:tc>
          <w:tcPr>
            <w:tcW w:w="59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bl>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Flows from Operating Activities. </w:t>
      </w:r>
      <w:r>
        <w:rPr>
          <w:rFonts w:ascii="Times New Roman" w:cs="Times New Roman" w:eastAsia="Times New Roman" w:hAnsi="Times New Roman"/>
          <w:sz w:val="18"/>
          <w:szCs w:val="18"/>
          <w:color w:val="auto"/>
        </w:rPr>
        <w:t>Cash flow generated from operating activities provides us with a source of liquidity. Our cash flows from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result from cash received from our customers, offset by cash payments we make for products and services, operational costs, and income taxes. During the three months ended March 31, 2025 and 2024, the Company had net cash inflows of $1,786 and $31,041, respectively. The $29,255 decrease was largely driven by tax payments made during the three months ended March 31, 2025.</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Flows from Investing Activities. </w:t>
      </w:r>
      <w:r>
        <w:rPr>
          <w:rFonts w:ascii="Times New Roman" w:cs="Times New Roman" w:eastAsia="Times New Roman" w:hAnsi="Times New Roman"/>
          <w:sz w:val="18"/>
          <w:szCs w:val="18"/>
          <w:color w:val="auto"/>
        </w:rPr>
        <w:t>During the three months ended March 31, 2025 and 2024, the Company had net cash outflows of $4,771 and $9,699,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$4,928 decrease in net cash outflows during the three months ended March 31, 2025 compared to the three months ended March 31, 2024 was driven by proceeds from the Noah's Ark deconsolidation of $9,071 during the three months ended March 31, 2025, which offset the purchases of property, plant and equipment of $13,864 during the three months ended March 31, 2025, compared to purchases of property, plant and equipment of $9,699 during the three months ended March 31, 2024.</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Flows from Financing Activities. </w:t>
      </w:r>
      <w:r>
        <w:rPr>
          <w:rFonts w:ascii="Times New Roman" w:cs="Times New Roman" w:eastAsia="Times New Roman" w:hAnsi="Times New Roman"/>
          <w:sz w:val="18"/>
          <w:szCs w:val="18"/>
          <w:color w:val="auto"/>
        </w:rPr>
        <w:t>During the three months ended March 31, 2025 and 2024, the Company had net cash outflows of $591 and $2,318,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$1,727 decrease in net cash outflows was driven by proceeds from the issuance of debt of $12,000, partially offset by principal repayments of debt of $7,130 during the three months ended March 31, 2025, compared to $2,150 of principal repayments of debt during the three months ended March 31, 2024. This was further offset by distributions paid to non-controlling interest holders of $4,672 during the three months ended March 31, 2025.</w:t>
      </w:r>
    </w:p>
    <w:p>
      <w:pPr>
        <w:spacing w:after="0" w:line="18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has updated its capital expenditures guidance to a range of $30,000 - $45,000 for the year-ended December 31, 2025. The Company expects to have a continued focus on efficiency enhancements at its cultivation and processing facilities and strategic expansion of its retail footprint.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or Adoption of Accounting Practices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Refer to the discussion of recently issued accounting standards under Part I, Item 1, Notes to Unaudited Interim Condensed Consolidated Financial Statements, </w:t>
      </w:r>
      <w:r>
        <w:rPr>
          <w:rFonts w:ascii="Times New Roman" w:cs="Times New Roman" w:eastAsia="Times New Roman" w:hAnsi="Times New Roman"/>
          <w:sz w:val="18"/>
          <w:szCs w:val="18"/>
          <w:i w:val="1"/>
          <w:iCs w:val="1"/>
          <w:color w:val="auto"/>
        </w:rPr>
        <w:t>Note 1 - Overview and Basis of Presentation.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Judgements and Estimates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critical accounting policies and estimates from the information provided in “Management’s Discussion and Analysis of Financial Condition and Results of Operations,” included in the Form 10-K.</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market risk disclosures as set forth in Part II, Item 7A of the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Securities Exchange Act of 1934, as amended (the “Exchange Act”))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for timely decisions regarding required disclosure.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required by Rule 13a-15(b) and Rule 15d-15(b) under the Exchange Act, our management, including our Chief Executive Officer (who is our principal executive officer) and Chief Financial Officer (who is our principal financial officer), evaluated, as of March 31, 2025, the end of the period covered by this Form 10-Q, the effectiveness of our disclosure controls and procedures as defined in Exchange Act Rule 13a-15(e) and Rule 15d-15(e). Based on this evaluation, our Chief Executive Officer and Chief Financial Officer concluded that our disclosure controls and procedures were effective as of the end of the period covered by this Form 10-Q.</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a controls system, no matter how well designed and operated, cannot provide absolute assurance that the objectives of the controls systems are met, and no evaluation of controls can provide absolute assurance that all control issues and instances of fraud or error, if any, within a company have been detected.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during the quarter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the Company may be subject to legal proceedings, claims, investigations and government inquiries in the ordinary course of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received, and may in the future continue to receive, claims from third parties.</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Please see the Notes to the Unaudited Interim Condensed Consolidated Financial Statements, </w:t>
      </w:r>
      <w:r>
        <w:rPr>
          <w:rFonts w:ascii="Times New Roman" w:cs="Times New Roman" w:eastAsia="Times New Roman" w:hAnsi="Times New Roman"/>
          <w:sz w:val="18"/>
          <w:szCs w:val="18"/>
          <w:i w:val="1"/>
          <w:iCs w:val="1"/>
          <w:color w:val="auto"/>
        </w:rPr>
        <w:t>Note 11 – Contingencies and Other – Claims and Litigation</w:t>
      </w:r>
      <w:r>
        <w:rPr>
          <w:rFonts w:ascii="Times New Roman" w:cs="Times New Roman" w:eastAsia="Times New Roman" w:hAnsi="Times New Roman"/>
          <w:sz w:val="18"/>
          <w:szCs w:val="18"/>
          <w:color w:val="auto"/>
        </w:rPr>
        <w:t>, which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in or additions to the Company’s risk factors included in our Annual Report on Form 10-K under Part I, Item 1A. “Risk Factors” filed with the SEC on February 27, 2025. We may continue to disclose changes to such risk factors or disclose additional risk factors from time to time in our future SEC filings.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trade policy, including the imposition of tariffs and the resulting consequences, may have a material adverse impact on our business, operating results, and financial condition.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requires significant packaging, construction, and other materials. While we strategically and proactively procure these materials from our suppliers in sufficient quantities to facilitate supply chain demands and on relevant construction timelines, we cannot yet predict the effect of the recently imposed or future U.S. tariffs on imports or the extent to which other countries will impose quotas, duties, tariffs, taxes or other similar restrictions upon the import of materials in the future, nor can we predict future trade policy or the terms of any renegotiated trade agreements and their impact on our business.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U.S. government has adopted new approaches to trade policy and in some cases, may renegotiate, or potentially terminate, certain existing bilateral or multi-lateral trade agreements. The U.S. government has also imposed tariffs on certain foreign goods and has raised the possibility of imposing significant additional tariff increases or expanding the tariffs to capture other countries and certain types of foreign goods. Any such current and future tariff increases, expanding the tariffs to capture other countries and types of foreign goods or other changes in U.S. trade policy may make it more difficult or costly for us to procure packaging, construction, and other materials. As a result, we may experience supply chain interruptions or increased pricing of such procured materials and planned projects may be delayed, which could have a material adverse effect on our current and expansion strategy as well as our business, operating results and financial condition.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which could in turn have a material adverse impact on our business, operating results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which have not been reported on a Current Report on Form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Rule </w:t>
      </w:r>
      <w:r>
        <w:rPr>
          <w:rFonts w:ascii="Times New Roman" w:cs="Times New Roman" w:eastAsia="Times New Roman" w:hAnsi="Times New Roman"/>
          <w:sz w:val="18"/>
          <w:szCs w:val="18"/>
          <w:i w:val="1"/>
          <w:iCs w:val="1"/>
          <w:color w:val="auto"/>
        </w:rPr>
        <w:t>10b5-1</w:t>
      </w:r>
      <w:r>
        <w:rPr>
          <w:rFonts w:ascii="Times New Roman" w:cs="Times New Roman" w:eastAsia="Times New Roman" w:hAnsi="Times New Roman"/>
          <w:sz w:val="18"/>
          <w:szCs w:val="18"/>
          <w:color w:val="auto"/>
        </w:rPr>
        <w:t xml:space="preserve"> Trading Plans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first quarter ended March 31, 2025, none of our directors or officers have adopted or terminated a “Rule 10b5-1 trading arrangement” or “non-Rule 10b5-1 trading arrangement,” as those terms are defined in Regulation S-K, Item 408(a).</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9"/>
                <w:szCs w:val="19"/>
                <w:color w:val="auto"/>
              </w:rPr>
            </w:pPr>
          </w:p>
        </w:tc>
        <w:tc>
          <w:tcPr>
            <w:tcW w:w="992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238"/>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0"/>
                <w:szCs w:val="20"/>
                <w:color w:val="auto"/>
              </w:rPr>
            </w:pPr>
          </w:p>
        </w:tc>
        <w:tc>
          <w:tcPr>
            <w:tcW w:w="9920" w:type="dxa"/>
            <w:vAlign w:val="bottom"/>
            <w:gridSpan w:val="11"/>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9"/>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Articles of Verano Holdings Corp., dated February 11, 2021 (filed as Exhibit 3.1 to our Registration Statement on Form 10 filed on April</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1"/>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26, 2022 (File No. 000-56342) and incorporated herein by reference).</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1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1"/>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Notice of Articles of Verano Holdings Corp., dated February 11, 2021 (filed as Exhibit 3.2 to our Registration Statement on Form 10</w:t>
              </w:r>
            </w:hyperlink>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tcBorders>
              <w:top w:val="single" w:sz="8" w:color="0000FF"/>
            </w:tcBorders>
            <w:gridSpan w:val="9"/>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filed April 26, 2022 (File No. 000-56342) and incorporated herein by reference).</w:t>
              </w:r>
            </w:hyperlink>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900" w:type="dxa"/>
            <w:vAlign w:val="bottom"/>
            <w:gridSpan w:val="2"/>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 and Rule 15d-14(a) of the Securities Exchange Act of 1934, as</w:t>
            </w:r>
          </w:p>
        </w:tc>
        <w:tc>
          <w:tcPr>
            <w:tcW w:w="5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amended</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and Rule 15d-14(a) of the Securities Exchange Act of 1934, as</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amended</w:t>
            </w:r>
          </w:p>
        </w:tc>
        <w:tc>
          <w:tcPr>
            <w:tcW w:w="56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as Adopted Pursuant to Section 906 of the Sarbanes-Oxley</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884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Act of 2002.</w:t>
            </w:r>
          </w:p>
        </w:tc>
        <w:tc>
          <w:tcPr>
            <w:tcW w:w="1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0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9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500"/>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9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500"/>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9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99"/>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9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540"/>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9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540"/>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9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50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80" w:right="9500" w:firstLine="9"/>
        <w:spacing w:after="0" w:line="488" w:lineRule="auto"/>
        <w:tabs>
          <w:tab w:leader="none" w:pos="35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 Filed herewith</w:t>
      </w:r>
    </w:p>
    <w:p>
      <w:pPr>
        <w:spacing w:after="0" w:line="1" w:lineRule="exact"/>
        <w:rPr>
          <w:rFonts w:ascii="Times New Roman" w:cs="Times New Roman" w:eastAsia="Times New Roman" w:hAnsi="Times New Roman"/>
          <w:sz w:val="17"/>
          <w:szCs w:val="17"/>
          <w:color w:val="auto"/>
        </w:rPr>
      </w:pPr>
    </w:p>
    <w:p>
      <w:pPr>
        <w:ind w:left="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39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297" w:right="5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8, 2025</w:t>
      </w:r>
    </w:p>
    <w:p>
      <w:pPr>
        <w:spacing w:after="0" w:line="24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35" w:lineRule="exact"/>
        <w:rPr>
          <w:sz w:val="20"/>
          <w:szCs w:val="20"/>
          <w:color w:val="auto"/>
        </w:rPr>
      </w:pPr>
    </w:p>
    <w:tbl>
      <w:tblPr>
        <w:tblLayout w:type="fixed"/>
        <w:tblInd w:w="5540" w:type="dxa"/>
        <w:tblCellMar>
          <w:top w:w="0" w:type="dxa"/>
          <w:left w:w="0" w:type="dxa"/>
          <w:bottom w:w="0" w:type="dxa"/>
          <w:right w:w="0" w:type="dxa"/>
        </w:tblCellMar>
      </w:tblPr>
      <w:tr>
        <w:trPr>
          <w:trHeight w:val="23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George Archos</w:t>
            </w:r>
          </w:p>
        </w:tc>
      </w:tr>
      <w:tr>
        <w:trPr>
          <w:trHeight w:val="41"/>
        </w:trPr>
        <w:tc>
          <w:tcPr>
            <w:tcW w:w="780" w:type="dxa"/>
            <w:vAlign w:val="bottom"/>
          </w:tcPr>
          <w:p>
            <w:pPr>
              <w:spacing w:after="0"/>
              <w:rPr>
                <w:sz w:val="3"/>
                <w:szCs w:val="3"/>
                <w:color w:val="auto"/>
              </w:rPr>
            </w:pPr>
          </w:p>
        </w:tc>
        <w:tc>
          <w:tcPr>
            <w:tcW w:w="4720" w:type="dxa"/>
            <w:vAlign w:val="bottom"/>
            <w:tcBorders>
              <w:bottom w:val="single" w:sz="8" w:color="auto"/>
            </w:tcBorders>
          </w:tcPr>
          <w:p>
            <w:pPr>
              <w:spacing w:after="0"/>
              <w:rPr>
                <w:sz w:val="3"/>
                <w:szCs w:val="3"/>
                <w:color w:val="auto"/>
              </w:rPr>
            </w:pPr>
          </w:p>
        </w:tc>
      </w:tr>
      <w:tr>
        <w:trPr>
          <w:trHeight w:val="23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 Archos</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99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Richard Tarapchak</w:t>
            </w:r>
          </w:p>
        </w:tc>
      </w:tr>
      <w:tr>
        <w:trPr>
          <w:trHeight w:val="40"/>
        </w:trPr>
        <w:tc>
          <w:tcPr>
            <w:tcW w:w="780" w:type="dxa"/>
            <w:vAlign w:val="bottom"/>
          </w:tcPr>
          <w:p>
            <w:pPr>
              <w:spacing w:after="0"/>
              <w:rPr>
                <w:sz w:val="3"/>
                <w:szCs w:val="3"/>
                <w:color w:val="auto"/>
              </w:rPr>
            </w:pPr>
          </w:p>
        </w:tc>
        <w:tc>
          <w:tcPr>
            <w:tcW w:w="4720" w:type="dxa"/>
            <w:vAlign w:val="bottom"/>
            <w:tcBorders>
              <w:bottom w:val="single" w:sz="8" w:color="auto"/>
            </w:tcBorders>
          </w:tcPr>
          <w:p>
            <w:pPr>
              <w:spacing w:after="0"/>
              <w:rPr>
                <w:sz w:val="3"/>
                <w:szCs w:val="3"/>
                <w:color w:val="auto"/>
              </w:rPr>
            </w:pPr>
          </w:p>
        </w:tc>
      </w:tr>
      <w:tr>
        <w:trPr>
          <w:trHeight w:val="23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Tarapchak</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720" w:type="dxa"/>
            <w:vAlign w:val="bottom"/>
          </w:tcPr>
          <w:p>
            <w:pPr>
              <w:spacing w:after="0"/>
              <w:rPr>
                <w:sz w:val="24"/>
                <w:szCs w:val="24"/>
                <w:color w:val="auto"/>
              </w:rPr>
            </w:pPr>
          </w:p>
        </w:tc>
      </w:tr>
    </w:tbl>
    <w:p>
      <w:pPr>
        <w:sectPr>
          <w:pgSz w:w="11900" w:h="16838" w:orient="portrait"/>
          <w:cols w:equalWidth="0" w:num="1">
            <w:col w:w="11240"/>
          </w:cols>
          <w:pgMar w:left="320" w:top="297"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CHIEF EXECUTIVE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302 OF THE SARBANES-OXLEY ACT OF 2002</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Archos, certify that:</w:t>
      </w:r>
    </w:p>
    <w:p>
      <w:pPr>
        <w:spacing w:after="0" w:line="239" w:lineRule="exact"/>
        <w:rPr>
          <w:sz w:val="20"/>
          <w:szCs w:val="20"/>
          <w:color w:val="auto"/>
        </w:rPr>
      </w:pPr>
    </w:p>
    <w:p>
      <w:pPr>
        <w:ind w:left="1100" w:hanging="363"/>
        <w:spacing w:after="0"/>
        <w:tabs>
          <w:tab w:leader="none" w:pos="1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Verano Holdings Corp.;</w:t>
      </w:r>
    </w:p>
    <w:p>
      <w:pPr>
        <w:spacing w:after="0" w:line="238" w:lineRule="exact"/>
        <w:rPr>
          <w:rFonts w:ascii="Times New Roman" w:cs="Times New Roman" w:eastAsia="Times New Roman" w:hAnsi="Times New Roman"/>
          <w:sz w:val="18"/>
          <w:szCs w:val="18"/>
          <w:color w:val="auto"/>
        </w:rPr>
      </w:pPr>
    </w:p>
    <w:p>
      <w:pPr>
        <w:jc w:val="both"/>
        <w:ind w:left="740" w:hanging="3"/>
        <w:spacing w:after="0" w:line="250" w:lineRule="auto"/>
        <w:tabs>
          <w:tab w:leader="none" w:pos="116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740" w:hanging="3"/>
        <w:spacing w:after="0" w:line="266" w:lineRule="auto"/>
        <w:tabs>
          <w:tab w:leader="none" w:pos="121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40" w:hanging="3"/>
        <w:spacing w:after="0" w:line="246" w:lineRule="auto"/>
        <w:tabs>
          <w:tab w:leader="none" w:pos="111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18"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5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3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3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42" w:lineRule="auto"/>
        <w:tabs>
          <w:tab w:leader="none" w:pos="165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Times New Roman" w:cs="Times New Roman" w:eastAsia="Times New Roman" w:hAnsi="Times New Roman"/>
          <w:sz w:val="18"/>
          <w:szCs w:val="18"/>
          <w:color w:val="auto"/>
        </w:rPr>
      </w:pPr>
    </w:p>
    <w:p>
      <w:pPr>
        <w:ind w:left="740" w:hanging="3"/>
        <w:spacing w:after="0" w:line="266" w:lineRule="auto"/>
        <w:tabs>
          <w:tab w:leader="none" w:pos="110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380" w:firstLine="5"/>
        <w:spacing w:after="0" w:line="266" w:lineRule="auto"/>
        <w:tabs>
          <w:tab w:leader="none" w:pos="163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380" w:firstLine="5"/>
        <w:spacing w:after="0" w:line="266" w:lineRule="auto"/>
        <w:tabs>
          <w:tab w:leader="none" w:pos="165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May 8, 2025</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i w:val="1"/>
          <w:iCs w:val="1"/>
          <w:color w:val="auto"/>
        </w:rPr>
        <w:t>/s/ George Archos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14605</wp:posOffset>
            </wp:positionV>
            <wp:extent cx="30257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1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George Archos</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56"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CHIEF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302 OF THE SARBANES-OXLEY ACT OF 2002</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Tarapchak, certify that:</w:t>
      </w:r>
    </w:p>
    <w:p>
      <w:pPr>
        <w:spacing w:after="0" w:line="239" w:lineRule="exact"/>
        <w:rPr>
          <w:sz w:val="20"/>
          <w:szCs w:val="20"/>
          <w:color w:val="auto"/>
        </w:rPr>
      </w:pPr>
    </w:p>
    <w:p>
      <w:pPr>
        <w:ind w:left="1100" w:hanging="363"/>
        <w:spacing w:after="0"/>
        <w:tabs>
          <w:tab w:leader="none" w:pos="1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Verano Holdings Corp.;</w:t>
      </w:r>
    </w:p>
    <w:p>
      <w:pPr>
        <w:spacing w:after="0" w:line="238" w:lineRule="exact"/>
        <w:rPr>
          <w:rFonts w:ascii="Times New Roman" w:cs="Times New Roman" w:eastAsia="Times New Roman" w:hAnsi="Times New Roman"/>
          <w:sz w:val="18"/>
          <w:szCs w:val="18"/>
          <w:color w:val="auto"/>
        </w:rPr>
      </w:pPr>
    </w:p>
    <w:p>
      <w:pPr>
        <w:jc w:val="both"/>
        <w:ind w:left="740" w:hanging="3"/>
        <w:spacing w:after="0" w:line="250" w:lineRule="auto"/>
        <w:tabs>
          <w:tab w:leader="none" w:pos="11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740" w:hanging="3"/>
        <w:spacing w:after="0" w:line="266" w:lineRule="auto"/>
        <w:tabs>
          <w:tab w:leader="none" w:pos="121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40" w:hanging="3"/>
        <w:spacing w:after="0" w:line="246" w:lineRule="auto"/>
        <w:tabs>
          <w:tab w:leader="none" w:pos="111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18"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5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3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3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42" w:lineRule="auto"/>
        <w:tabs>
          <w:tab w:leader="none" w:pos="165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Times New Roman" w:cs="Times New Roman" w:eastAsia="Times New Roman" w:hAnsi="Times New Roman"/>
          <w:sz w:val="18"/>
          <w:szCs w:val="18"/>
          <w:color w:val="auto"/>
        </w:rPr>
      </w:pPr>
    </w:p>
    <w:p>
      <w:pPr>
        <w:ind w:left="740" w:hanging="3"/>
        <w:spacing w:after="0" w:line="266" w:lineRule="auto"/>
        <w:tabs>
          <w:tab w:leader="none" w:pos="110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380" w:firstLine="5"/>
        <w:spacing w:after="0" w:line="266" w:lineRule="auto"/>
        <w:tabs>
          <w:tab w:leader="none" w:pos="163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380" w:firstLine="5"/>
        <w:spacing w:after="0" w:line="266" w:lineRule="auto"/>
        <w:tabs>
          <w:tab w:leader="none" w:pos="165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8, 2025</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/s/ Richard Tarapchak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Richard Tarapchak</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356" w:right="339" w:bottom="1440" w:gutter="0" w:footer="0" w:header="0"/>
        </w:sectPr>
      </w:pPr>
    </w:p>
    <w:bookmarkStart w:id="50" w:name="page51"/>
    <w:bookmarkEnd w:id="50"/>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Verano Holdings Corp. (the “Company”) for the three months ended March 31, 2025 as filed with the Securities and Exchange Commission on the date hereof (the “Report”), I, George Archos, Chief Executive Officer of the Company, certify pursuant to 18 U.S.C. Section 1350, as adopted pursuant to Section 906 of the Sarbanes-Oxley Act of 2002, that, to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8, 2025</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/s/ George Archos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George Archos</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60" w:right="339" w:bottom="1440" w:gutter="0" w:footer="0" w:header="0"/>
        </w:sectPr>
      </w:pPr>
    </w:p>
    <w:bookmarkStart w:id="51" w:name="page52"/>
    <w:bookmarkEnd w:id="51"/>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Verano Holdings Corp. (the “Company”) for the three months ended March 31, 2025 as filed with the Securities and Exchange Commission on the date hereof (the “Report”), I, Richard Tarapchak, Chief Financial Officer of the Company, certify pursuant to 18 U.S.C. Section 1350, as adopted pursuant to Section 906 of the Sarbanes-Oxley Act of 2002, that, to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8, 2025</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/s/ Richard Tarapchak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Richard Tarapchak</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1"/>
    </w:lvl>
    <w:lvl w:ilvl="1">
      <w:lvlJc w:val="left"/>
      <w:lvlText w:val="(%2)"/>
      <w:numFmt w:val="lowerLetter"/>
      <w:start w:val="1"/>
    </w:lvl>
  </w:abstractNum>
  <w:abstractNum w:abstractNumId="7">
    <w:nsid w:val="7C83E458"/>
    <w:multiLevelType w:val="hybridMultilevel"/>
    <w:lvl w:ilvl="0">
      <w:lvlJc w:val="left"/>
      <w:lvlText w:val="%1."/>
      <w:numFmt w:val="decimal"/>
      <w:start w:val="1"/>
    </w:lvl>
    <w:lvl w:ilvl="1">
      <w:lvlJc w:val="left"/>
      <w:lvlText w:val="(%2)"/>
      <w:numFmt w:val="lowerLetter"/>
      <w:start w:val="3"/>
    </w:lvl>
  </w:abstractNum>
  <w:abstractNum w:abstractNumId="8">
    <w:nsid w:val="257130A3"/>
    <w:multiLevelType w:val="hybridMultilevel"/>
    <w:lvl w:ilvl="0">
      <w:lvlJc w:val="left"/>
      <w:lvlText w:val="%1."/>
      <w:numFmt w:val="decimal"/>
      <w:start w:val="2"/>
    </w:lvl>
  </w:abstractNum>
  <w:abstractNum w:abstractNumId="9">
    <w:nsid w:val="62BBD95A"/>
    <w:multiLevelType w:val="hybridMultilevel"/>
    <w:lvl w:ilvl="0">
      <w:lvlJc w:val="left"/>
      <w:lvlText w:val="%1."/>
      <w:numFmt w:val="decimal"/>
      <w:start w:val="3"/>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4"/>
    </w:lvl>
  </w:abstractNum>
  <w:abstractNum w:abstractNumId="12">
    <w:nsid w:val="333AB105"/>
    <w:multiLevelType w:val="hybridMultilevel"/>
    <w:lvl w:ilvl="0">
      <w:lvlJc w:val="left"/>
      <w:lvlText w:val="%1."/>
      <w:numFmt w:val="decimal"/>
      <w:start w:val="5"/>
    </w:lvl>
  </w:abstractNum>
  <w:abstractNum w:abstractNumId="13">
    <w:nsid w:val="721DA317"/>
    <w:multiLevelType w:val="hybridMultilevel"/>
    <w:lvl w:ilvl="0">
      <w:lvlJc w:val="left"/>
      <w:lvlText w:val="%1."/>
      <w:numFmt w:val="decimal"/>
      <w:start w:val="6"/>
    </w:lvl>
  </w:abstractNum>
  <w:abstractNum w:abstractNumId="14">
    <w:nsid w:val="2443A858"/>
    <w:multiLevelType w:val="hybridMultilevel"/>
    <w:lvl w:ilvl="0">
      <w:lvlJc w:val="left"/>
      <w:lvlText w:val="%1."/>
      <w:numFmt w:val="decimal"/>
      <w:start w:val="6"/>
    </w:lvl>
  </w:abstractNum>
  <w:abstractNum w:abstractNumId="15">
    <w:nsid w:val="2D1D5AE9"/>
    <w:multiLevelType w:val="hybridMultilevel"/>
    <w:lvl w:ilvl="0">
      <w:lvlJc w:val="left"/>
      <w:lvlText w:val="%1."/>
      <w:numFmt w:val="decimal"/>
      <w:start w:val="6"/>
    </w:lvl>
  </w:abstractNum>
  <w:abstractNum w:abstractNumId="16">
    <w:nsid w:val="6763845E"/>
    <w:multiLevelType w:val="hybridMultilevel"/>
    <w:lvl w:ilvl="0">
      <w:lvlJc w:val="left"/>
      <w:lvlText w:val="%1."/>
      <w:numFmt w:val="decimal"/>
      <w:start w:val="7"/>
    </w:lvl>
  </w:abstractNum>
  <w:abstractNum w:abstractNumId="17">
    <w:nsid w:val="75A2A8D4"/>
    <w:multiLevelType w:val="hybridMultilevel"/>
    <w:lvl w:ilvl="0">
      <w:lvlJc w:val="left"/>
      <w:lvlText w:val="%1."/>
      <w:numFmt w:val="decimal"/>
      <w:start w:val="7"/>
    </w:lvl>
  </w:abstractNum>
  <w:abstractNum w:abstractNumId="18">
    <w:nsid w:val="8EDBDAB"/>
    <w:multiLevelType w:val="hybridMultilevel"/>
    <w:lvl w:ilvl="0">
      <w:lvlJc w:val="left"/>
      <w:lvlText w:val="%1."/>
      <w:numFmt w:val="decimal"/>
      <w:start w:val="8"/>
    </w:lvl>
  </w:abstractNum>
  <w:abstractNum w:abstractNumId="19">
    <w:nsid w:val="79838CB2"/>
    <w:multiLevelType w:val="hybridMultilevel"/>
    <w:lvl w:ilvl="0">
      <w:lvlJc w:val="left"/>
      <w:lvlText w:val="(%1)"/>
      <w:numFmt w:val="lowerLetter"/>
      <w:start w:val="2"/>
    </w:lvl>
  </w:abstractNum>
  <w:abstractNum w:abstractNumId="20">
    <w:nsid w:val="4353D0CD"/>
    <w:multiLevelType w:val="hybridMultilevel"/>
    <w:lvl w:ilvl="0">
      <w:lvlJc w:val="left"/>
      <w:lvlText w:val="%1."/>
      <w:numFmt w:val="decimal"/>
      <w:start w:val="8"/>
    </w:lvl>
  </w:abstractNum>
  <w:abstractNum w:abstractNumId="21">
    <w:nsid w:val="B03E0C6"/>
    <w:multiLevelType w:val="hybridMultilevel"/>
    <w:lvl w:ilvl="0">
      <w:lvlJc w:val="left"/>
      <w:lvlText w:val="(%1)"/>
      <w:numFmt w:val="lowerLetter"/>
      <w:start w:val="3"/>
    </w:lvl>
  </w:abstractNum>
  <w:abstractNum w:abstractNumId="22">
    <w:nsid w:val="189A769B"/>
    <w:multiLevelType w:val="hybridMultilevel"/>
    <w:lvl w:ilvl="0">
      <w:lvlJc w:val="left"/>
      <w:lvlText w:val="%1."/>
      <w:numFmt w:val="decimal"/>
      <w:start w:val="9"/>
    </w:lvl>
  </w:abstractNum>
  <w:abstractNum w:abstractNumId="23">
    <w:nsid w:val="54E49EB4"/>
    <w:multiLevelType w:val="hybridMultilevel"/>
    <w:lvl w:ilvl="0">
      <w:lvlJc w:val="left"/>
      <w:lvlText w:val="%1."/>
      <w:numFmt w:val="decimal"/>
      <w:start w:val="11"/>
    </w:lvl>
    <w:lvl w:ilvl="1">
      <w:lvlJc w:val="left"/>
      <w:lvlText w:val="(%2)"/>
      <w:numFmt w:val="lowerLetter"/>
      <w:start w:val="1"/>
    </w:lvl>
  </w:abstractNum>
  <w:abstractNum w:abstractNumId="24">
    <w:nsid w:val="71F32454"/>
    <w:multiLevelType w:val="hybridMultilevel"/>
    <w:lvl w:ilvl="0">
      <w:lvlJc w:val="left"/>
      <w:lvlText w:val="%1."/>
      <w:numFmt w:val="decimal"/>
      <w:start w:val="11"/>
    </w:lvl>
    <w:lvl w:ilvl="1">
      <w:lvlJc w:val="left"/>
      <w:lvlText w:val="(%2)"/>
      <w:numFmt w:val="lowerLetter"/>
      <w:start w:val="2"/>
    </w:lvl>
  </w:abstractNum>
  <w:abstractNum w:abstractNumId="25">
    <w:nsid w:val="2CA88611"/>
    <w:multiLevelType w:val="hybridMultilevel"/>
    <w:lvl w:ilvl="0">
      <w:lvlJc w:val="left"/>
      <w:lvlText w:val="%1."/>
      <w:numFmt w:val="decimal"/>
      <w:start w:val="12"/>
    </w:lvl>
  </w:abstractNum>
  <w:abstractNum w:abstractNumId="26">
    <w:nsid w:val="836C40E"/>
    <w:multiLevelType w:val="hybridMultilevel"/>
    <w:lvl w:ilvl="0">
      <w:lvlJc w:val="left"/>
      <w:lvlText w:val="1"/>
      <w:numFmt w:val="bullet"/>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89" Type="http://schemas.openxmlformats.org/officeDocument/2006/relationships/hyperlink" Target="https://www.sec.gov/Archives/edgar/data/1848416/000149315222011243/ex3-1.htm" TargetMode="External"/><Relationship Id="rId90" Type="http://schemas.openxmlformats.org/officeDocument/2006/relationships/hyperlink" Target="https://www.sec.gov/Archives/edgar/data/1848416/000149315222011243/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2025-05-08T06:12:04Z</dcterms:created>
  <dcterms:modified xsi:type="dcterms:W3CDTF">2025-05-08T06:12:04Z</dcterms:modified>
</cp:coreProperties>
</file>