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283"/>
        <w:jc w:val="both"/>
        <w:rPr/>
      </w:pPr>
      <w:hyperlink w:anchor="i4eefff2545794af2a9cb746809773a65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200" w:after="2"/>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
              <w:ind w:left="0" w:right="0" w:firstLine="45"/>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
              <w:ind w:left="0" w:right="0" w:firstLine="45"/>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to</w:t>
      </w:r>
    </w:p>
    <w:p>
      <w:pPr>
        <w:pStyle w:val="TextBody"/>
        <w:bidi w:val="0"/>
        <w:spacing w:lineRule="auto" w:line="288" w:before="200" w:after="120"/>
        <w:jc w:val="center"/>
        <w:rPr>
          <w:rFonts w:ascii="Times New Roman;serif" w:hAnsi="Times New Roman;serif"/>
          <w:b/>
          <w:color w:val="000000"/>
          <w:sz w:val="20"/>
        </w:rPr>
      </w:pPr>
      <w:r>
        <w:rPr>
          <w:rFonts w:ascii="Times New Roman;serif" w:hAnsi="Times New Roman;serif"/>
          <w:b/>
          <w:color w:val="000000"/>
          <w:sz w:val="20"/>
        </w:rPr>
        <w:t>Commission file number 000-56342</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88" w:before="140" w:after="283"/>
        <w:jc w:val="center"/>
        <w:rPr>
          <w:rFonts w:ascii="Times New Roman;serif" w:hAnsi="Times New Roman;serif"/>
          <w:b/>
          <w:color w:val="000000"/>
          <w:sz w:val="36"/>
        </w:rPr>
      </w:pPr>
      <w:r>
        <w:rPr>
          <w:rFonts w:ascii="Times New Roman;serif" w:hAnsi="Times New Roman;serif"/>
          <w:b/>
          <w:color w:val="000000"/>
          <w:sz w:val="36"/>
        </w:rPr>
        <w:t>VERANO HOLDINGS CORP.</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8085" w:type="dxa"/>
        <w:jc w:val="center"/>
        <w:tblInd w:w="0" w:type="dxa"/>
        <w:tblLayout w:type="fixed"/>
        <w:tblCellMar>
          <w:top w:w="28" w:type="dxa"/>
          <w:left w:w="28" w:type="dxa"/>
          <w:bottom w:w="28" w:type="dxa"/>
          <w:right w:w="28" w:type="dxa"/>
        </w:tblCellMar>
      </w:tblPr>
      <w:tblGrid>
        <w:gridCol w:w="1814"/>
        <w:gridCol w:w="1590"/>
        <w:gridCol w:w="1606"/>
        <w:gridCol w:w="850"/>
        <w:gridCol w:w="850"/>
        <w:gridCol w:w="1375"/>
      </w:tblGrid>
      <w:tr>
        <w:trPr/>
        <w:tc>
          <w:tcPr>
            <w:tcW w:w="1814"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ind w:left="0" w:right="0" w:firstLine="45"/>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68" w:before="0" w:after="2"/>
              <w:ind w:left="0" w:right="0" w:firstLine="45"/>
              <w:jc w:val="center"/>
              <w:rPr>
                <w:rFonts w:ascii="Times New Roman;serif" w:hAnsi="Times New Roman;serif"/>
                <w:b/>
                <w:color w:val="000000"/>
                <w:sz w:val="20"/>
              </w:rPr>
            </w:pPr>
            <w:r>
              <w:rPr>
                <w:rFonts w:ascii="Times New Roman;serif" w:hAnsi="Times New Roman;serif"/>
                <w:b/>
                <w:color w:val="000000"/>
                <w:sz w:val="20"/>
              </w:rPr>
              <w:t>Nevada</w:t>
            </w:r>
          </w:p>
        </w:tc>
        <w:tc>
          <w:tcPr>
            <w:tcW w:w="3075"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color w:val="000000"/>
                <w:sz w:val="20"/>
              </w:rPr>
            </w:pPr>
            <w:r>
              <w:rPr>
                <w:rFonts w:ascii="Times New Roman;serif" w:hAnsi="Times New Roman;serif"/>
                <w:b/>
                <w:color w:val="000000"/>
                <w:sz w:val="20"/>
              </w:rPr>
              <w:t>98-1583243</w:t>
            </w:r>
          </w:p>
        </w:tc>
      </w:tr>
      <w:tr>
        <w:trPr/>
        <w:tc>
          <w:tcPr>
            <w:tcW w:w="5010" w:type="dxa"/>
            <w:gridSpan w:val="3"/>
            <w:tcBorders/>
            <w:tcMar>
              <w:top w:w="0" w:type="dxa"/>
              <w:left w:w="0" w:type="dxa"/>
              <w:bottom w:w="0" w:type="dxa"/>
              <w:right w:w="0" w:type="dxa"/>
            </w:tcMar>
            <w:vAlign w:val="center"/>
          </w:tcPr>
          <w:p>
            <w:pPr>
              <w:pStyle w:val="TableContents"/>
              <w:bidi w:val="0"/>
              <w:spacing w:lineRule="auto" w:line="268" w:before="0" w:after="2"/>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075" w:type="dxa"/>
            <w:gridSpan w:val="3"/>
            <w:tcBorders/>
            <w:tcMar>
              <w:top w:w="0" w:type="dxa"/>
              <w:left w:w="0" w:type="dxa"/>
              <w:bottom w:w="0" w:type="dxa"/>
              <w:right w:w="0" w:type="dxa"/>
            </w:tcMar>
            <w:vAlign w:val="center"/>
          </w:tcPr>
          <w:p>
            <w:pPr>
              <w:pStyle w:val="TableContents"/>
              <w:bidi w:val="0"/>
              <w:spacing w:lineRule="auto" w:line="268" w:before="0" w:after="2"/>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68" w:before="0" w:after="2"/>
              <w:ind w:left="0" w:right="0" w:firstLine="45"/>
              <w:jc w:val="center"/>
              <w:rPr>
                <w:rFonts w:ascii="Times New Roman;serif" w:hAnsi="Times New Roman;serif"/>
                <w:b/>
                <w:color w:val="000000"/>
                <w:sz w:val="20"/>
              </w:rPr>
            </w:pPr>
            <w:r>
              <w:rPr>
                <w:rFonts w:ascii="Times New Roman;serif" w:hAnsi="Times New Roman;serif"/>
                <w:b/>
                <w:color w:val="000000"/>
                <w:sz w:val="20"/>
              </w:rPr>
              <w:t>224 W Hill Street, Suite 400,</w:t>
            </w:r>
          </w:p>
          <w:p>
            <w:pPr>
              <w:pStyle w:val="TableContents"/>
              <w:bidi w:val="0"/>
              <w:spacing w:lineRule="auto" w:line="268" w:before="0" w:after="2"/>
              <w:ind w:left="0" w:right="0" w:firstLine="45"/>
              <w:jc w:val="center"/>
              <w:rPr>
                <w:color w:val="000000"/>
              </w:rPr>
            </w:pPr>
            <w:r>
              <w:rPr>
                <w:color w:val="000000"/>
              </w:rPr>
              <w:t> </w:t>
            </w:r>
            <w:r>
              <w:rPr>
                <w:rFonts w:ascii="Times New Roman;serif" w:hAnsi="Times New Roman;serif"/>
                <w:b/>
                <w:color w:val="000000"/>
                <w:sz w:val="20"/>
              </w:rPr>
              <w:t>Chicago, Illinois</w:t>
            </w:r>
          </w:p>
        </w:tc>
        <w:tc>
          <w:tcPr>
            <w:tcW w:w="3075" w:type="dxa"/>
            <w:gridSpan w:val="3"/>
            <w:tcBorders/>
            <w:tcMar>
              <w:top w:w="0" w:type="dxa"/>
              <w:left w:w="0" w:type="dxa"/>
              <w:bottom w:w="0" w:type="dxa"/>
              <w:right w:w="0" w:type="dxa"/>
            </w:tcMar>
            <w:vAlign w:val="center"/>
          </w:tcPr>
          <w:p>
            <w:pPr>
              <w:pStyle w:val="TableContents"/>
              <w:bidi w:val="0"/>
              <w:spacing w:lineRule="auto" w:line="268" w:before="0" w:after="2"/>
              <w:ind w:left="0" w:right="0" w:firstLine="45"/>
              <w:jc w:val="center"/>
              <w:rPr>
                <w:rFonts w:ascii="Times New Roman;serif" w:hAnsi="Times New Roman;serif"/>
                <w:b/>
                <w:color w:val="000000"/>
                <w:sz w:val="20"/>
              </w:rPr>
            </w:pPr>
            <w:r>
              <w:rPr>
                <w:rFonts w:ascii="Times New Roman;serif" w:hAnsi="Times New Roman;serif"/>
                <w:b/>
                <w:color w:val="000000"/>
                <w:sz w:val="20"/>
              </w:rPr>
              <w:t>60610</w:t>
            </w:r>
          </w:p>
        </w:tc>
      </w:tr>
      <w:tr>
        <w:trPr/>
        <w:tc>
          <w:tcPr>
            <w:tcW w:w="5010" w:type="dxa"/>
            <w:gridSpan w:val="3"/>
            <w:tcBorders/>
            <w:tcMar>
              <w:top w:w="0" w:type="dxa"/>
              <w:left w:w="0" w:type="dxa"/>
              <w:bottom w:w="0" w:type="dxa"/>
              <w:right w:w="0" w:type="dxa"/>
            </w:tcMar>
            <w:vAlign w:val="center"/>
          </w:tcPr>
          <w:p>
            <w:pPr>
              <w:pStyle w:val="TableContents"/>
              <w:bidi w:val="0"/>
              <w:spacing w:lineRule="auto" w:line="268" w:before="0" w:after="2"/>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075" w:type="dxa"/>
            <w:gridSpan w:val="3"/>
            <w:tcBorders/>
            <w:tcMar>
              <w:top w:w="0" w:type="dxa"/>
              <w:left w:w="0" w:type="dxa"/>
              <w:bottom w:w="0" w:type="dxa"/>
              <w:right w:w="0" w:type="dxa"/>
            </w:tcMar>
            <w:vAlign w:val="center"/>
          </w:tcPr>
          <w:p>
            <w:pPr>
              <w:pStyle w:val="TableContents"/>
              <w:bidi w:val="0"/>
              <w:spacing w:lineRule="auto" w:line="268" w:before="0" w:after="2"/>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(312) 265-0730</w:t>
      </w:r>
    </w:p>
    <w:tbl>
      <w:tblPr>
        <w:tblW w:w="4432" w:type="dxa"/>
        <w:jc w:val="center"/>
        <w:tblInd w:w="0" w:type="dxa"/>
        <w:tblLayout w:type="fixed"/>
        <w:tblCellMar>
          <w:top w:w="28" w:type="dxa"/>
          <w:left w:w="28" w:type="dxa"/>
          <w:bottom w:w="28" w:type="dxa"/>
          <w:right w:w="28" w:type="dxa"/>
        </w:tblCellMar>
      </w:tblPr>
      <w:tblGrid>
        <w:gridCol w:w="324"/>
        <w:gridCol w:w="285"/>
        <w:gridCol w:w="285"/>
        <w:gridCol w:w="285"/>
        <w:gridCol w:w="285"/>
        <w:gridCol w:w="285"/>
        <w:gridCol w:w="285"/>
        <w:gridCol w:w="285"/>
        <w:gridCol w:w="285"/>
        <w:gridCol w:w="285"/>
        <w:gridCol w:w="285"/>
        <w:gridCol w:w="285"/>
        <w:gridCol w:w="285"/>
        <w:gridCol w:w="285"/>
        <w:gridCol w:w="403"/>
      </w:tblGrid>
      <w:tr>
        <w:trPr/>
        <w:tc>
          <w:tcPr>
            <w:tcW w:w="3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443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tbl>
      <w:tblPr>
        <w:tblW w:w="6640" w:type="dxa"/>
        <w:jc w:val="center"/>
        <w:tblInd w:w="0" w:type="dxa"/>
        <w:tblLayout w:type="fixed"/>
        <w:tblCellMar>
          <w:top w:w="28" w:type="dxa"/>
          <w:left w:w="28" w:type="dxa"/>
          <w:bottom w:w="28" w:type="dxa"/>
          <w:right w:w="28" w:type="dxa"/>
        </w:tblCellMar>
      </w:tblPr>
      <w:tblGrid>
        <w:gridCol w:w="486"/>
        <w:gridCol w:w="427"/>
        <w:gridCol w:w="427"/>
        <w:gridCol w:w="427"/>
        <w:gridCol w:w="427"/>
        <w:gridCol w:w="427"/>
        <w:gridCol w:w="427"/>
        <w:gridCol w:w="427"/>
        <w:gridCol w:w="427"/>
        <w:gridCol w:w="427"/>
        <w:gridCol w:w="427"/>
        <w:gridCol w:w="427"/>
        <w:gridCol w:w="427"/>
        <w:gridCol w:w="427"/>
        <w:gridCol w:w="603"/>
      </w:tblGrid>
      <w:tr>
        <w:trPr/>
        <w:tc>
          <w:tcPr>
            <w:tcW w:w="48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664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N/A</w:t>
            </w:r>
          </w:p>
        </w:tc>
      </w:tr>
      <w:tr>
        <w:trPr/>
        <w:tc>
          <w:tcPr>
            <w:tcW w:w="664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tc>
      </w:tr>
    </w:tbl>
    <w:tbl>
      <w:tblPr>
        <w:tblW w:w="8571" w:type="dxa"/>
        <w:jc w:val="center"/>
        <w:tblInd w:w="0" w:type="dxa"/>
        <w:tblLayout w:type="fixed"/>
        <w:tblCellMar>
          <w:top w:w="28" w:type="dxa"/>
          <w:left w:w="28" w:type="dxa"/>
          <w:bottom w:w="28" w:type="dxa"/>
          <w:right w:w="28" w:type="dxa"/>
        </w:tblCellMar>
      </w:tblPr>
      <w:tblGrid>
        <w:gridCol w:w="571"/>
        <w:gridCol w:w="502"/>
        <w:gridCol w:w="502"/>
        <w:gridCol w:w="311"/>
        <w:gridCol w:w="311"/>
        <w:gridCol w:w="311"/>
        <w:gridCol w:w="475"/>
        <w:gridCol w:w="475"/>
        <w:gridCol w:w="475"/>
        <w:gridCol w:w="311"/>
        <w:gridCol w:w="311"/>
        <w:gridCol w:w="311"/>
        <w:gridCol w:w="1085"/>
        <w:gridCol w:w="1085"/>
        <w:gridCol w:w="1535"/>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571" w:type="dxa"/>
            <w:gridSpan w:val="15"/>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c>
      </w:tr>
      <w:tr>
        <w:trPr/>
        <w:tc>
          <w:tcPr>
            <w:tcW w:w="157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N/A</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N/A</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N/A</w:t>
            </w:r>
          </w:p>
        </w:tc>
      </w:tr>
    </w:tbl>
    <w:p>
      <w:pPr>
        <w:pStyle w:val="TextBody"/>
        <w:bidi w:val="0"/>
        <w:spacing w:lineRule="auto" w:line="288" w:before="12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40" w:after="283"/>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200" w:after="283"/>
        <w:jc w:val="both"/>
        <w:rPr/>
      </w:pPr>
      <w:hyperlink w:anchor="i4eefff2545794af2a9cb746809773a6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00" w:type="dxa"/>
        <w:jc w:val="center"/>
        <w:tblInd w:w="0" w:type="dxa"/>
        <w:tblLayout w:type="fixed"/>
        <w:tblCellMar>
          <w:top w:w="28" w:type="dxa"/>
          <w:left w:w="28" w:type="dxa"/>
          <w:bottom w:w="28" w:type="dxa"/>
          <w:right w:w="28" w:type="dxa"/>
        </w:tblCellMar>
      </w:tblPr>
      <w:tblGrid>
        <w:gridCol w:w="124"/>
        <w:gridCol w:w="109"/>
        <w:gridCol w:w="109"/>
        <w:gridCol w:w="634"/>
        <w:gridCol w:w="634"/>
        <w:gridCol w:w="636"/>
        <w:gridCol w:w="109"/>
        <w:gridCol w:w="109"/>
        <w:gridCol w:w="109"/>
        <w:gridCol w:w="784"/>
        <w:gridCol w:w="784"/>
        <w:gridCol w:w="78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
              <w:jc w:val="both"/>
              <w:rPr>
                <w:rFonts w:ascii="Wingdings;sans-serif" w:hAnsi="Wingdings;sans-serif"/>
                <w:b w:val="false"/>
                <w:color w:val="000000"/>
                <w:sz w:val="20"/>
              </w:rPr>
            </w:pPr>
            <w:r>
              <w:rPr>
                <w:rFonts w:ascii="Wingdings;sans-serif" w:hAnsi="Wingdings;sans-serif"/>
                <w:b w:val="false"/>
                <w:color w:val="000000"/>
                <w:sz w:val="20"/>
              </w:rPr>
              <w:t>o</w:t>
            </w:r>
          </w:p>
        </w:tc>
        <w:tc>
          <w:tcPr>
            <w:tcW w:w="2355" w:type="dxa"/>
            <w:gridSpan w:val="3"/>
            <w:tcBorders/>
            <w:tcMar>
              <w:top w:w="0" w:type="dxa"/>
              <w:left w:w="0" w:type="dxa"/>
              <w:bottom w:w="0" w:type="dxa"/>
              <w:right w:w="0" w:type="dxa"/>
            </w:tcMar>
            <w:vAlign w:val="center"/>
          </w:tcPr>
          <w:p>
            <w:pPr>
              <w:pStyle w:val="TableContents"/>
              <w:bidi w:val="0"/>
              <w:spacing w:lineRule="auto" w:line="268" w:before="0" w:after="2"/>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
              <w:jc w:val="both"/>
              <w:rPr>
                <w:rFonts w:ascii="Wingdings;sans-serif" w:hAnsi="Wingdings;sans-serif"/>
                <w:b w:val="false"/>
                <w:color w:val="000000"/>
                <w:sz w:val="20"/>
              </w:rPr>
            </w:pPr>
            <w:r>
              <w:rPr>
                <w:rFonts w:ascii="Wingdings;sans-serif" w:hAnsi="Wingdings;sans-serif"/>
                <w:b w:val="false"/>
                <w:color w:val="000000"/>
                <w:sz w:val="20"/>
              </w:rPr>
              <w:t>x</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
              <w:jc w:val="both"/>
              <w:rPr>
                <w:rFonts w:ascii="Wingdings;sans-serif" w:hAnsi="Wingdings;sans-serif"/>
                <w:b w:val="false"/>
                <w:color w:val="000000"/>
                <w:sz w:val="20"/>
              </w:rPr>
            </w:pPr>
            <w:r>
              <w:rPr>
                <w:rFonts w:ascii="Wingdings;sans-serif" w:hAnsi="Wingdings;sans-serif"/>
                <w:b w:val="false"/>
                <w:color w:val="000000"/>
                <w:sz w:val="20"/>
              </w:rPr>
              <w:t>o</w:t>
            </w:r>
          </w:p>
        </w:tc>
        <w:tc>
          <w:tcPr>
            <w:tcW w:w="2355" w:type="dxa"/>
            <w:gridSpan w:val="3"/>
            <w:tcBorders/>
            <w:tcMar>
              <w:top w:w="0" w:type="dxa"/>
              <w:left w:w="0" w:type="dxa"/>
              <w:bottom w:w="0" w:type="dxa"/>
              <w:right w:w="0" w:type="dxa"/>
            </w:tcMar>
            <w:vAlign w:val="center"/>
          </w:tcPr>
          <w:p>
            <w:pPr>
              <w:pStyle w:val="TableContents"/>
              <w:bidi w:val="0"/>
              <w:spacing w:lineRule="auto" w:line="268" w:before="0" w:after="2"/>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
              <w:jc w:val="both"/>
              <w:rPr>
                <w:rFonts w:ascii="Wingdings;sans-serif" w:hAnsi="Wingdings;sans-serif"/>
                <w:b w:val="false"/>
                <w:color w:val="000000"/>
                <w:sz w:val="20"/>
              </w:rPr>
            </w:pPr>
            <w:r>
              <w:rPr>
                <w:rFonts w:ascii="Wingdings;sans-serif" w:hAnsi="Wingdings;sans-serif"/>
                <w:b w:val="false"/>
                <w:color w:val="000000"/>
                <w:sz w:val="20"/>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68" w:before="0" w:after="2"/>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
              <w:jc w:val="both"/>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4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40" w:after="283"/>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August 3, 2026, the registrant had 73,217,970 shares of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200" w:after="283"/>
        <w:jc w:val="both"/>
        <w:rPr/>
      </w:pPr>
      <w:hyperlink w:anchor="i4eefff2545794af2a9cb746809773a6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820" w:type="dxa"/>
        <w:jc w:val="center"/>
        <w:tblInd w:w="0" w:type="dxa"/>
        <w:tblLayout w:type="fixed"/>
        <w:tblCellMar>
          <w:top w:w="28" w:type="dxa"/>
          <w:left w:w="28" w:type="dxa"/>
          <w:bottom w:w="28" w:type="dxa"/>
          <w:right w:w="28" w:type="dxa"/>
        </w:tblCellMar>
      </w:tblPr>
      <w:tblGrid>
        <w:gridCol w:w="305"/>
        <w:gridCol w:w="268"/>
        <w:gridCol w:w="268"/>
        <w:gridCol w:w="268"/>
        <w:gridCol w:w="268"/>
        <w:gridCol w:w="268"/>
        <w:gridCol w:w="2482"/>
        <w:gridCol w:w="2482"/>
        <w:gridCol w:w="2565"/>
        <w:gridCol w:w="189"/>
        <w:gridCol w:w="189"/>
        <w:gridCol w:w="268"/>
      </w:tblGrid>
      <w:tr>
        <w:trPr/>
        <w:tc>
          <w:tcPr>
            <w:tcW w:w="30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Pages</w:t>
            </w:r>
          </w:p>
        </w:tc>
      </w:tr>
      <w:tr>
        <w:trPr/>
        <w:tc>
          <w:tcPr>
            <w:tcW w:w="9174" w:type="dxa"/>
            <w:gridSpan w:val="9"/>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4eefff2545794af2a9cb746809773a65_10">
              <w:r>
                <w:rPr>
                  <w:rStyle w:val="InternetLink"/>
                  <w:rFonts w:ascii="Times New Roman;serif" w:hAnsi="Times New Roman;serif"/>
                  <w:b w:val="false"/>
                  <w:color w:val="0000FF"/>
                  <w:sz w:val="20"/>
                  <w:u w:val="single"/>
                </w:rPr>
                <w:t>Part I - Financial Information</w:t>
              </w:r>
            </w:hyperlink>
          </w:p>
        </w:tc>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pPr>
            <w:hyperlink w:anchor="i4eefff2545794af2a9cb746809773a65_10">
              <w:r>
                <w:rPr>
                  <w:rStyle w:val="InternetLink"/>
                  <w:rFonts w:ascii="Times New Roman;serif" w:hAnsi="Times New Roman;serif"/>
                  <w:b w:val="false"/>
                  <w:color w:val="0000FF"/>
                  <w:sz w:val="20"/>
                  <w:u w:val="single"/>
                </w:rPr>
                <w:t>1</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4eefff2545794af2a9cb746809773a65_13">
              <w:r>
                <w:rPr>
                  <w:rStyle w:val="InternetLink"/>
                  <w:rFonts w:ascii="Times New Roman;serif" w:hAnsi="Times New Roman;serif"/>
                  <w:b w:val="false"/>
                  <w:color w:val="0000FF"/>
                  <w:sz w:val="20"/>
                  <w:u w:val="single"/>
                </w:rPr>
                <w:t>Item 1.</w:t>
              </w:r>
            </w:hyperlink>
          </w:p>
        </w:tc>
        <w:tc>
          <w:tcPr>
            <w:tcW w:w="75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4eefff2545794af2a9cb746809773a65_13">
              <w:r>
                <w:rPr>
                  <w:rStyle w:val="InternetLink"/>
                  <w:rFonts w:ascii="Times New Roman;serif" w:hAnsi="Times New Roman;serif"/>
                  <w:b w:val="false"/>
                  <w:color w:val="0000FF"/>
                  <w:sz w:val="20"/>
                  <w:u w:val="single"/>
                </w:rPr>
                <w:t>Unaudited Interim Condensed Consolidated Financial Statements</w:t>
              </w:r>
            </w:hyperlink>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pPr>
            <w:hyperlink w:anchor="i4eefff2545794af2a9cb746809773a65_13">
              <w:r>
                <w:rPr>
                  <w:rStyle w:val="InternetLink"/>
                  <w:rFonts w:ascii="Times New Roman;serif" w:hAnsi="Times New Roman;serif"/>
                  <w:b w:val="false"/>
                  <w:color w:val="0000FF"/>
                  <w:sz w:val="20"/>
                  <w:u w:val="single"/>
                </w:rPr>
                <w:t>1</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4eefff2545794af2a9cb746809773a65_16">
              <w:r>
                <w:rPr>
                  <w:rStyle w:val="InternetLink"/>
                  <w:rFonts w:ascii="Times New Roman;serif" w:hAnsi="Times New Roman;serif"/>
                  <w:b w:val="false"/>
                  <w:color w:val="0000FF"/>
                  <w:sz w:val="20"/>
                  <w:u w:val="single"/>
                </w:rPr>
                <w:t>Condensed Consolidated Balance Sheets</w:t>
              </w:r>
            </w:hyperlink>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pPr>
            <w:hyperlink w:anchor="i4eefff2545794af2a9cb746809773a65_16">
              <w:r>
                <w:rPr>
                  <w:rStyle w:val="InternetLink"/>
                  <w:rFonts w:ascii="Times New Roman;serif" w:hAnsi="Times New Roman;serif"/>
                  <w:b w:val="false"/>
                  <w:color w:val="0000FF"/>
                  <w:sz w:val="20"/>
                  <w:u w:val="single"/>
                </w:rPr>
                <w:t>2</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4eefff2545794af2a9cb746809773a65_19">
              <w:r>
                <w:rPr>
                  <w:rStyle w:val="InternetLink"/>
                  <w:rFonts w:ascii="Times New Roman;serif" w:hAnsi="Times New Roman;serif"/>
                  <w:b w:val="false"/>
                  <w:color w:val="0000FF"/>
                  <w:sz w:val="20"/>
                  <w:u w:val="single"/>
                </w:rPr>
                <w:t>Unaudited Interim Condensed Consolidated Statements of Operations</w:t>
              </w:r>
            </w:hyperlink>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pPr>
            <w:hyperlink w:anchor="i4eefff2545794af2a9cb746809773a65_19">
              <w:r>
                <w:rPr>
                  <w:rStyle w:val="InternetLink"/>
                  <w:rFonts w:ascii="Times New Roman;serif" w:hAnsi="Times New Roman;serif"/>
                  <w:b w:val="false"/>
                  <w:color w:val="0000FF"/>
                  <w:sz w:val="20"/>
                  <w:u w:val="single"/>
                </w:rPr>
                <w:t>3</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4eefff2545794af2a9cb746809773a65_22">
              <w:r>
                <w:rPr>
                  <w:rStyle w:val="InternetLink"/>
                  <w:rFonts w:ascii="Times New Roman;serif" w:hAnsi="Times New Roman;serif"/>
                  <w:b w:val="false"/>
                  <w:color w:val="000080"/>
                  <w:sz w:val="20"/>
                  <w:u w:val="single"/>
                </w:rPr>
                <w:t>Unaudited Interim Condensed Consolidated Statements of Changes in S</w:t>
              </w:r>
            </w:hyperlink>
            <w:hyperlink w:anchor="i4eefff2545794af2a9cb746809773a65_22">
              <w:r>
                <w:rPr>
                  <w:rStyle w:val="InternetLink"/>
                  <w:rFonts w:ascii="Times New Roman;serif" w:hAnsi="Times New Roman;serif"/>
                  <w:b w:val="false"/>
                  <w:color w:val="000080"/>
                  <w:sz w:val="20"/>
                  <w:u w:val="single"/>
                </w:rPr>
                <w:t>tock</w:t>
              </w:r>
            </w:hyperlink>
            <w:hyperlink w:anchor="i4eefff2545794af2a9cb746809773a65_22">
              <w:r>
                <w:rPr>
                  <w:rStyle w:val="InternetLink"/>
                  <w:rFonts w:ascii="Times New Roman;serif" w:hAnsi="Times New Roman;serif"/>
                  <w:b w:val="false"/>
                  <w:color w:val="000080"/>
                  <w:sz w:val="20"/>
                  <w:u w:val="single"/>
                </w:rPr>
                <w:t>holders' Equity</w:t>
              </w:r>
            </w:hyperlink>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pPr>
            <w:hyperlink w:anchor="i4eefff2545794af2a9cb746809773a65_22">
              <w:r>
                <w:rPr>
                  <w:rStyle w:val="InternetLink"/>
                  <w:rFonts w:ascii="Times New Roman;serif" w:hAnsi="Times New Roman;serif"/>
                  <w:b w:val="false"/>
                  <w:color w:val="0000FF"/>
                  <w:sz w:val="20"/>
                  <w:u w:val="single"/>
                </w:rPr>
                <w:t>4</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4eefff2545794af2a9cb746809773a65_25">
              <w:r>
                <w:rPr>
                  <w:rStyle w:val="InternetLink"/>
                  <w:rFonts w:ascii="Times New Roman;serif" w:hAnsi="Times New Roman;serif"/>
                  <w:b w:val="false"/>
                  <w:color w:val="0000FF"/>
                  <w:sz w:val="20"/>
                  <w:u w:val="single"/>
                </w:rPr>
                <w:t>Unaudited Interim Condensed Consolidated Statements of Cash Flows</w:t>
              </w:r>
            </w:hyperlink>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pPr>
            <w:hyperlink w:anchor="i4eefff2545794af2a9cb746809773a65_25">
              <w:r>
                <w:rPr>
                  <w:rStyle w:val="InternetLink"/>
                  <w:rFonts w:ascii="Times New Roman;serif" w:hAnsi="Times New Roman;serif"/>
                  <w:b w:val="false"/>
                  <w:color w:val="0000FF"/>
                  <w:sz w:val="20"/>
                  <w:u w:val="single"/>
                </w:rPr>
                <w:t>6</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4eefff2545794af2a9cb746809773a65_28">
              <w:r>
                <w:rPr>
                  <w:rStyle w:val="InternetLink"/>
                  <w:rFonts w:ascii="Times New Roman;serif" w:hAnsi="Times New Roman;serif"/>
                  <w:b w:val="false"/>
                  <w:color w:val="0000FF"/>
                  <w:sz w:val="20"/>
                  <w:u w:val="single"/>
                </w:rPr>
                <w:t>Notes to Unaudited Interim Condensed Consolidated Financial Statements</w:t>
              </w:r>
            </w:hyperlink>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pPr>
            <w:hyperlink w:anchor="i4eefff2545794af2a9cb746809773a65_28">
              <w:r>
                <w:rPr>
                  <w:rStyle w:val="InternetLink"/>
                  <w:rFonts w:ascii="Times New Roman;serif" w:hAnsi="Times New Roman;serif"/>
                  <w:b w:val="false"/>
                  <w:color w:val="0000FF"/>
                  <w:sz w:val="20"/>
                  <w:u w:val="single"/>
                </w:rPr>
                <w:t>7</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4eefff2545794af2a9cb746809773a65_82">
              <w:r>
                <w:rPr>
                  <w:rStyle w:val="InternetLink"/>
                  <w:rFonts w:ascii="Times New Roman;serif" w:hAnsi="Times New Roman;serif"/>
                  <w:b w:val="false"/>
                  <w:color w:val="0000FF"/>
                  <w:sz w:val="20"/>
                  <w:u w:val="single"/>
                </w:rPr>
                <w:t>Item 2.</w:t>
              </w:r>
            </w:hyperlink>
          </w:p>
        </w:tc>
        <w:tc>
          <w:tcPr>
            <w:tcW w:w="75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4eefff2545794af2a9cb746809773a65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pPr>
            <w:hyperlink w:anchor="i4eefff2545794af2a9cb746809773a65_82">
              <w:r>
                <w:rPr>
                  <w:rStyle w:val="InternetLink"/>
                  <w:rFonts w:ascii="Times New Roman;serif" w:hAnsi="Times New Roman;serif"/>
                  <w:b w:val="false"/>
                  <w:color w:val="0000FF"/>
                  <w:sz w:val="20"/>
                  <w:u w:val="single"/>
                </w:rPr>
                <w:t>33</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4eefff2545794af2a9cb746809773a65_97">
              <w:r>
                <w:rPr>
                  <w:rStyle w:val="InternetLink"/>
                  <w:rFonts w:ascii="Times New Roman;serif" w:hAnsi="Times New Roman;serif"/>
                  <w:b w:val="false"/>
                  <w:color w:val="0000FF"/>
                  <w:sz w:val="20"/>
                  <w:u w:val="single"/>
                </w:rPr>
                <w:t>Item 3.</w:t>
              </w:r>
            </w:hyperlink>
          </w:p>
        </w:tc>
        <w:tc>
          <w:tcPr>
            <w:tcW w:w="75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4eefff2545794af2a9cb746809773a65_97">
              <w:r>
                <w:rPr>
                  <w:rStyle w:val="InternetLink"/>
                  <w:rFonts w:ascii="Times New Roman;serif" w:hAnsi="Times New Roman;serif"/>
                  <w:b w:val="false"/>
                  <w:color w:val="0000FF"/>
                  <w:sz w:val="20"/>
                  <w:u w:val="single"/>
                </w:rPr>
                <w:t>Quantitative and Qualitative Disclosures About Market Risk</w:t>
              </w:r>
            </w:hyperlink>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pPr>
            <w:hyperlink w:anchor="i4eefff2545794af2a9cb746809773a65_97">
              <w:r>
                <w:rPr>
                  <w:rStyle w:val="InternetLink"/>
                  <w:rFonts w:ascii="Times New Roman;serif" w:hAnsi="Times New Roman;serif"/>
                  <w:b w:val="false"/>
                  <w:color w:val="0000FF"/>
                  <w:sz w:val="20"/>
                  <w:u w:val="single"/>
                </w:rPr>
                <w:t>45</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4eefff2545794af2a9cb746809773a65_100">
              <w:r>
                <w:rPr>
                  <w:rStyle w:val="InternetLink"/>
                  <w:rFonts w:ascii="Times New Roman;serif" w:hAnsi="Times New Roman;serif"/>
                  <w:b w:val="false"/>
                  <w:color w:val="0000FF"/>
                  <w:sz w:val="20"/>
                  <w:u w:val="single"/>
                </w:rPr>
                <w:t>Item 4.</w:t>
              </w:r>
            </w:hyperlink>
          </w:p>
        </w:tc>
        <w:tc>
          <w:tcPr>
            <w:tcW w:w="75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4eefff2545794af2a9cb746809773a65_100">
              <w:r>
                <w:rPr>
                  <w:rStyle w:val="InternetLink"/>
                  <w:rFonts w:ascii="Times New Roman;serif" w:hAnsi="Times New Roman;serif"/>
                  <w:b w:val="false"/>
                  <w:color w:val="0000FF"/>
                  <w:sz w:val="20"/>
                  <w:u w:val="single"/>
                </w:rPr>
                <w:t>Controls and Procedures</w:t>
              </w:r>
            </w:hyperlink>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pPr>
            <w:hyperlink w:anchor="i4eefff2545794af2a9cb746809773a65_100">
              <w:r>
                <w:rPr>
                  <w:rStyle w:val="InternetLink"/>
                  <w:rFonts w:ascii="Times New Roman;serif" w:hAnsi="Times New Roman;serif"/>
                  <w:b w:val="false"/>
                  <w:color w:val="0000FF"/>
                  <w:sz w:val="20"/>
                  <w:u w:val="single"/>
                </w:rPr>
                <w:t>46</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4"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4eefff2545794af2a9cb746809773a65_103">
              <w:r>
                <w:rPr>
                  <w:rStyle w:val="InternetLink"/>
                  <w:rFonts w:ascii="Times New Roman;serif" w:hAnsi="Times New Roman;serif"/>
                  <w:b w:val="false"/>
                  <w:color w:val="0000FF"/>
                  <w:sz w:val="20"/>
                  <w:u w:val="single"/>
                </w:rPr>
                <w:t>Part II - Other Information</w:t>
              </w:r>
            </w:hyperlink>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pPr>
            <w:hyperlink w:anchor="i4eefff2545794af2a9cb746809773a65_103">
              <w:r>
                <w:rPr>
                  <w:rStyle w:val="InternetLink"/>
                  <w:rFonts w:ascii="Times New Roman;serif" w:hAnsi="Times New Roman;serif"/>
                  <w:b w:val="false"/>
                  <w:color w:val="0000FF"/>
                  <w:sz w:val="20"/>
                  <w:u w:val="single"/>
                </w:rPr>
                <w:t>47</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4eefff2545794af2a9cb746809773a65_106">
              <w:r>
                <w:rPr>
                  <w:rStyle w:val="InternetLink"/>
                  <w:rFonts w:ascii="Times New Roman;serif" w:hAnsi="Times New Roman;serif"/>
                  <w:b w:val="false"/>
                  <w:color w:val="0000FF"/>
                  <w:sz w:val="20"/>
                  <w:u w:val="single"/>
                </w:rPr>
                <w:t>Item 1.</w:t>
              </w:r>
            </w:hyperlink>
          </w:p>
        </w:tc>
        <w:tc>
          <w:tcPr>
            <w:tcW w:w="75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4eefff2545794af2a9cb746809773a65_106">
              <w:r>
                <w:rPr>
                  <w:rStyle w:val="InternetLink"/>
                  <w:rFonts w:ascii="Times New Roman;serif" w:hAnsi="Times New Roman;serif"/>
                  <w:b w:val="false"/>
                  <w:color w:val="0000FF"/>
                  <w:sz w:val="20"/>
                  <w:u w:val="single"/>
                </w:rPr>
                <w:t>Legal Proceedings</w:t>
              </w:r>
            </w:hyperlink>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pPr>
            <w:hyperlink w:anchor="i4eefff2545794af2a9cb746809773a65_106">
              <w:r>
                <w:rPr>
                  <w:rStyle w:val="InternetLink"/>
                  <w:rFonts w:ascii="Times New Roman;serif" w:hAnsi="Times New Roman;serif"/>
                  <w:b w:val="false"/>
                  <w:color w:val="0000FF"/>
                  <w:sz w:val="20"/>
                  <w:u w:val="single"/>
                </w:rPr>
                <w:t>47</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4eefff2545794af2a9cb746809773a65_109">
              <w:r>
                <w:rPr>
                  <w:rStyle w:val="InternetLink"/>
                  <w:rFonts w:ascii="Times New Roman;serif" w:hAnsi="Times New Roman;serif"/>
                  <w:b w:val="false"/>
                  <w:color w:val="0000FF"/>
                  <w:sz w:val="20"/>
                  <w:u w:val="single"/>
                </w:rPr>
                <w:t>Item 1A.</w:t>
              </w:r>
            </w:hyperlink>
          </w:p>
        </w:tc>
        <w:tc>
          <w:tcPr>
            <w:tcW w:w="75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4eefff2545794af2a9cb746809773a65_109">
              <w:r>
                <w:rPr>
                  <w:rStyle w:val="InternetLink"/>
                  <w:rFonts w:ascii="Times New Roman;serif" w:hAnsi="Times New Roman;serif"/>
                  <w:b w:val="false"/>
                  <w:color w:val="0000FF"/>
                  <w:sz w:val="20"/>
                  <w:u w:val="single"/>
                </w:rPr>
                <w:t>Risk Factors</w:t>
              </w:r>
            </w:hyperlink>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pPr>
            <w:hyperlink w:anchor="i4eefff2545794af2a9cb746809773a65_109">
              <w:r>
                <w:rPr>
                  <w:rStyle w:val="InternetLink"/>
                  <w:rFonts w:ascii="Times New Roman;serif" w:hAnsi="Times New Roman;serif"/>
                  <w:b w:val="false"/>
                  <w:color w:val="0000FF"/>
                  <w:sz w:val="20"/>
                  <w:u w:val="single"/>
                </w:rPr>
                <w:t>47</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4eefff2545794af2a9cb746809773a65_112">
              <w:r>
                <w:rPr>
                  <w:rStyle w:val="InternetLink"/>
                  <w:rFonts w:ascii="Times New Roman;serif" w:hAnsi="Times New Roman;serif"/>
                  <w:b w:val="false"/>
                  <w:color w:val="0000FF"/>
                  <w:sz w:val="20"/>
                  <w:u w:val="single"/>
                </w:rPr>
                <w:t>Item 2.</w:t>
              </w:r>
            </w:hyperlink>
          </w:p>
        </w:tc>
        <w:tc>
          <w:tcPr>
            <w:tcW w:w="75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4eefff2545794af2a9cb746809773a65_112">
              <w:r>
                <w:rPr>
                  <w:rStyle w:val="InternetLink"/>
                  <w:rFonts w:ascii="Times New Roman;serif" w:hAnsi="Times New Roman;serif"/>
                  <w:b w:val="false"/>
                  <w:color w:val="0000FF"/>
                  <w:sz w:val="20"/>
                  <w:u w:val="single"/>
                </w:rPr>
                <w:t>Unregistered Sales of Equity Securities and Use of Proceeds</w:t>
              </w:r>
            </w:hyperlink>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pPr>
            <w:hyperlink w:anchor="i4eefff2545794af2a9cb746809773a65_112">
              <w:r>
                <w:rPr>
                  <w:rStyle w:val="InternetLink"/>
                  <w:rFonts w:ascii="Times New Roman;serif" w:hAnsi="Times New Roman;serif"/>
                  <w:b w:val="false"/>
                  <w:color w:val="0000FF"/>
                  <w:sz w:val="20"/>
                  <w:u w:val="single"/>
                </w:rPr>
                <w:t>47</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4eefff2545794af2a9cb746809773a65_115">
              <w:r>
                <w:rPr>
                  <w:rStyle w:val="InternetLink"/>
                  <w:rFonts w:ascii="Times New Roman;serif" w:hAnsi="Times New Roman;serif"/>
                  <w:b w:val="false"/>
                  <w:color w:val="0000FF"/>
                  <w:sz w:val="20"/>
                  <w:u w:val="single"/>
                </w:rPr>
                <w:t>Item 3.</w:t>
              </w:r>
            </w:hyperlink>
          </w:p>
        </w:tc>
        <w:tc>
          <w:tcPr>
            <w:tcW w:w="75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4eefff2545794af2a9cb746809773a65_115">
              <w:r>
                <w:rPr>
                  <w:rStyle w:val="InternetLink"/>
                  <w:rFonts w:ascii="Times New Roman;serif" w:hAnsi="Times New Roman;serif"/>
                  <w:b w:val="false"/>
                  <w:color w:val="0000FF"/>
                  <w:sz w:val="20"/>
                  <w:u w:val="single"/>
                </w:rPr>
                <w:t>Defaults Upon Senior Securities</w:t>
              </w:r>
            </w:hyperlink>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pPr>
            <w:hyperlink w:anchor="i4eefff2545794af2a9cb746809773a65_115">
              <w:r>
                <w:rPr>
                  <w:rStyle w:val="InternetLink"/>
                  <w:rFonts w:ascii="Times New Roman;serif" w:hAnsi="Times New Roman;serif"/>
                  <w:b w:val="false"/>
                  <w:color w:val="0000FF"/>
                  <w:sz w:val="20"/>
                  <w:u w:val="single"/>
                </w:rPr>
                <w:t>47</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4eefff2545794af2a9cb746809773a65_118">
              <w:r>
                <w:rPr>
                  <w:rStyle w:val="InternetLink"/>
                  <w:rFonts w:ascii="Times New Roman;serif" w:hAnsi="Times New Roman;serif"/>
                  <w:b w:val="false"/>
                  <w:color w:val="0000FF"/>
                  <w:sz w:val="20"/>
                  <w:u w:val="single"/>
                </w:rPr>
                <w:t>Item 4.</w:t>
              </w:r>
            </w:hyperlink>
          </w:p>
        </w:tc>
        <w:tc>
          <w:tcPr>
            <w:tcW w:w="75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4eefff2545794af2a9cb746809773a65_118">
              <w:r>
                <w:rPr>
                  <w:rStyle w:val="InternetLink"/>
                  <w:rFonts w:ascii="Times New Roman;serif" w:hAnsi="Times New Roman;serif"/>
                  <w:b w:val="false"/>
                  <w:color w:val="0000FF"/>
                  <w:sz w:val="20"/>
                  <w:u w:val="single"/>
                </w:rPr>
                <w:t>Mine Safety Disclosures</w:t>
              </w:r>
            </w:hyperlink>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pPr>
            <w:hyperlink w:anchor="i4eefff2545794af2a9cb746809773a65_118">
              <w:r>
                <w:rPr>
                  <w:rStyle w:val="InternetLink"/>
                  <w:rFonts w:ascii="Times New Roman;serif" w:hAnsi="Times New Roman;serif"/>
                  <w:b w:val="false"/>
                  <w:color w:val="0000FF"/>
                  <w:sz w:val="20"/>
                  <w:u w:val="single"/>
                </w:rPr>
                <w:t>47</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4eefff2545794af2a9cb746809773a65_121">
              <w:r>
                <w:rPr>
                  <w:rStyle w:val="InternetLink"/>
                  <w:rFonts w:ascii="Times New Roman;serif" w:hAnsi="Times New Roman;serif"/>
                  <w:b w:val="false"/>
                  <w:color w:val="0000FF"/>
                  <w:sz w:val="20"/>
                  <w:u w:val="single"/>
                </w:rPr>
                <w:t>Item 5.</w:t>
              </w:r>
            </w:hyperlink>
          </w:p>
        </w:tc>
        <w:tc>
          <w:tcPr>
            <w:tcW w:w="75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4eefff2545794af2a9cb746809773a65_121">
              <w:r>
                <w:rPr>
                  <w:rStyle w:val="InternetLink"/>
                  <w:rFonts w:ascii="Times New Roman;serif" w:hAnsi="Times New Roman;serif"/>
                  <w:b w:val="false"/>
                  <w:color w:val="0000FF"/>
                  <w:sz w:val="20"/>
                  <w:u w:val="single"/>
                </w:rPr>
                <w:t>Other Information</w:t>
              </w:r>
            </w:hyperlink>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pPr>
            <w:hyperlink w:anchor="i4eefff2545794af2a9cb746809773a65_121">
              <w:r>
                <w:rPr>
                  <w:rStyle w:val="InternetLink"/>
                  <w:rFonts w:ascii="Times New Roman;serif" w:hAnsi="Times New Roman;serif"/>
                  <w:b w:val="false"/>
                  <w:color w:val="0000FF"/>
                  <w:sz w:val="20"/>
                  <w:u w:val="single"/>
                </w:rPr>
                <w:t>47</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4eefff2545794af2a9cb746809773a65_127">
              <w:r>
                <w:rPr>
                  <w:rStyle w:val="InternetLink"/>
                  <w:rFonts w:ascii="Times New Roman;serif" w:hAnsi="Times New Roman;serif"/>
                  <w:b w:val="false"/>
                  <w:color w:val="0000FF"/>
                  <w:sz w:val="20"/>
                  <w:u w:val="single"/>
                </w:rPr>
                <w:t>Item 6.</w:t>
              </w:r>
            </w:hyperlink>
          </w:p>
        </w:tc>
        <w:tc>
          <w:tcPr>
            <w:tcW w:w="75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4eefff2545794af2a9cb746809773a65_127">
              <w:r>
                <w:rPr>
                  <w:rStyle w:val="InternetLink"/>
                  <w:rFonts w:ascii="Times New Roman;serif" w:hAnsi="Times New Roman;serif"/>
                  <w:b w:val="false"/>
                  <w:color w:val="0000FF"/>
                  <w:sz w:val="20"/>
                  <w:u w:val="single"/>
                </w:rPr>
                <w:t>Exhibits</w:t>
              </w:r>
            </w:hyperlink>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pPr>
            <w:hyperlink w:anchor="i4eefff2545794af2a9cb746809773a65_127">
              <w:r>
                <w:rPr>
                  <w:rStyle w:val="InternetLink"/>
                  <w:rFonts w:ascii="Times New Roman;serif" w:hAnsi="Times New Roman;serif"/>
                  <w:b w:val="false"/>
                  <w:color w:val="0000FF"/>
                  <w:sz w:val="20"/>
                  <w:u w:val="single"/>
                </w:rPr>
                <w:t>48</w:t>
              </w:r>
            </w:hyperlink>
          </w:p>
        </w:tc>
      </w:tr>
      <w:tr>
        <w:trPr/>
        <w:tc>
          <w:tcPr>
            <w:tcW w:w="9174"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4eefff2545794af2a9cb746809773a65_130">
              <w:r>
                <w:rPr>
                  <w:rStyle w:val="InternetLink"/>
                  <w:rFonts w:ascii="Times New Roman;serif" w:hAnsi="Times New Roman;serif"/>
                  <w:b w:val="false"/>
                  <w:color w:val="0000FF"/>
                  <w:sz w:val="20"/>
                  <w:u w:val="single"/>
                </w:rPr>
                <w:t>Signatures</w:t>
              </w:r>
            </w:hyperlink>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pPr>
            <w:hyperlink w:anchor="i4eefff2545794af2a9cb746809773a65_130">
              <w:r>
                <w:rPr>
                  <w:rStyle w:val="InternetLink"/>
                  <w:rFonts w:ascii="Times New Roman;serif" w:hAnsi="Times New Roman;serif"/>
                  <w:b w:val="false"/>
                  <w:color w:val="0000FF"/>
                  <w:sz w:val="20"/>
                  <w:u w:val="single"/>
                </w:rPr>
                <w:t>49</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200" w:after="283"/>
        <w:jc w:val="both"/>
        <w:rPr/>
      </w:pPr>
      <w:hyperlink w:anchor="i4eefff2545794af2a9cb746809773a6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(this “Form 10-Q”) contains “forward-looking information” and “forward-looking statements” within the meaning of United States and Canadian securities laws (together, “forward-looking statements”). All statements, other than statements of historical fact, made by the Company or its affiliates that address activities, events or developments that the Company or its affiliates expect or anticipate will or may occur in the future are forward-looking statements, including, but not limited to, statements preceded by, followed by or that include words such as “may,” “will,” “would,” “could,” “should,” “believes,” “assumes,” “estimates,” “projects,” “potential,” “expects,” “plans,” “intends,” “anticipates,” “targeted,” “continues,” “forecasts,” “designed,” “goal,” “progress,” or the negative of those words or other similar or comparable words.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contained herein are based on certain key expectations and assumptions, including, but not limited to, expectations and assumptions concerning: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obtain, maintain and renew licenses and other regulatory approvals in all states and localities of our operations and planned operations on a timely basis;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government regulations, including future U.S. state and federal legislative and regulatory developments involving medical and adult use cannabis and the timing thereof;</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our outlook on our expansion and growth of business and operations;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our ability to achieve our goals, business plans and strategy;</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our ability to access capital and obtain necessary financing to pursue our growth and business plans;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our operational results and other financial and business conditions and prospects;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the timing and completion of acquisitions and other commercial transactions;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the integration and operation of acquired businesses;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the timing and amount of capital expenditures;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the availability of facilities, equipment, skilled labor and services needed for cannabis operations;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demand, developments and trends in the medical and adult use cannabis industry;</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competition in the cannabis industry in the markets in which we operate or plan to operate;</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the medical benefits, viability, safety, efficacy, and dosing of cannabis;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the size of the medical cannabis market and the adult use cannabis market in each state; and</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conditions in general economic and financial markets.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Forward-looking statements may relate to future financial conditions, results of operations, plans, strategies, objectives, performance or business developments. These statements speak only as at the date they are made and are based on information currently available and on the then-current expectations of the party making the statement and assumptions concerning future events, which are subject to a number of known and unknown risks, uncertainties and other factors that may cause actual results, performance or achievements to be materially different from that which was expressed or implied by such forward-looking statements, including, but not limited to, risks and uncertainties related to:</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current illegality of cannabis under federal law, subject to recently enacted exceptions, and the U.S. federal regulatory landscape and enforcement related to medical or adult use cannabis, including political risks, civil asset forfeiture and regulation by additional regulatory authorities;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regulatory and political changes to U.S. federal, state and local laws related to medical or adult use cannabis, including political risks and regulation by additional regulatory authorities;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rescheduling may lower the barriers to entry for well-capitalized institutional competitors;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the federal rescheduling process may be subject to significant procedural delays and legal challenges;</w:t>
      </w:r>
    </w:p>
    <w:p>
      <w:pPr>
        <w:pStyle w:val="TextBody"/>
        <w:bidi w:val="0"/>
        <w:spacing w:lineRule="auto" w:line="244" w:before="0" w:after="2"/>
        <w:ind w:left="0" w:right="0" w:hanging="360"/>
        <w:jc w:val="both"/>
        <w:rPr/>
      </w:pPr>
      <w:r>
        <w:rPr>
          <w:color w:val="000000"/>
        </w:rPr>
        <w:t>•</w:t>
      </w:r>
      <w:r>
        <w:rPr>
          <w:rFonts w:ascii="Times New Roman;serif" w:hAnsi="Times New Roman;serif"/>
          <w:b w:val="false"/>
          <w:color w:val="000000"/>
          <w:sz w:val="20"/>
        </w:rPr>
        <w:t>the impacts of economic uncertainty stemming from disruptions in U.S. and global markets, inflation, rising interest rates, and changes in consumer and business confidence;</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our outstanding indebtedness and potential future indebtedness, including our ability to repay such indebtedness;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reliance on key management;</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 xml:space="preserve">market acceptance of existing and new products and potential returns or recalls of our products; </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potential cultivation biosecurity failures;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 xml:space="preserve">consumer acceptance of our brand portfolio; </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 xml:space="preserve">the accuracy of our forecasted demand for our products; </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our ability to accurately forecast, manage, and monetize inventory;</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the potential for fraudulent activity by employees, contractors and consultants;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 xml:space="preserve">our exposure to growth-related operational and execution risks;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88" w:before="200" w:after="283"/>
        <w:jc w:val="both"/>
        <w:rPr/>
      </w:pPr>
      <w:hyperlink w:anchor="i4eefff2545794af2a9cb746809773a6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potential negative findings in our clinical research with respect to our products;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 xml:space="preserve">potential product liability claims; </w:t>
      </w:r>
    </w:p>
    <w:p>
      <w:pPr>
        <w:pStyle w:val="TextBody"/>
        <w:bidi w:val="0"/>
        <w:spacing w:lineRule="auto" w:line="288" w:before="0" w:after="2"/>
        <w:ind w:left="0" w:right="0" w:hanging="360"/>
        <w:jc w:val="both"/>
        <w:rPr/>
      </w:pPr>
      <w:r>
        <w:rPr>
          <w:color w:val="000000"/>
        </w:rPr>
        <w:t>•</w:t>
      </w:r>
      <w:r>
        <w:rPr>
          <w:rFonts w:ascii="Times New Roman;serif" w:hAnsi="Times New Roman;serif"/>
          <w:b w:val="false"/>
          <w:color w:val="000000"/>
          <w:sz w:val="20"/>
        </w:rPr>
        <w:t>our exposure to natural phenomena and resulting potential uninsured or under insured losses;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the risk that our property will be subject to civil asset forfeiture;</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our corporate structure and our resulting reliance on the performance of our subsidiaries and affiliates;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our expansion-by-acquisition strategy;</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our ability to acquire businesses and cannabis licenses in desired markets and the integration and operation of acquired businesses;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the typically limited operations of businesses we acquire;</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the unconventional due diligence process in the cannabis industry;</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our ability to acquire and lease properties suitable for the cultivation, production and sale of cannabis;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potential limited representations and warranties of businesses we may acquire;</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 xml:space="preserve">our acquisition of businesses in developing cannabis markets; </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our lack of portfolio diversification by industry and geographic concentration;</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 xml:space="preserve">our use of joint ventures, strategic partnerships and alliances; </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 xml:space="preserve">our contractual relationships with our consolidated variable interest entities; </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existing competition and new market entrants;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the introduction of synthetic alternatives to cannabis products by pharmaceutical and other companies;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the immaturity of the cannabis industry and limited comparable, competitive and established industry best practices;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the availability of and our reliance on third-party suppliers, service providers, contractors and manufacturers, and any significant interruption of these relationships, including negative changes to quality, availability, pricing, trade policy and other economics;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changes in U.S. trade policy, including the imposition of tariffs and the resulting consequences;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wholesale and retail price fluctuations;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public opinion and perception of the cannabis industry;</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the availability of raw or other materials;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rising or volatile energy costs;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agricultural and environmental risks and the impacts of environmental regulations on the cannabis industry and environmental protections;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physical security risks, such as theft;</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disparate state-by-state regulatory landscapes and licensing regimes for medical and adult use cannabis;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the difficulties cannabis businesses face accessing and maintaining banking or financial services due to federal regulations;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 xml:space="preserve">the cost and difficulty of complying with various regulatory schemes; </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the impact of state social equity legislation as it relates to the cannabis industry;</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the risk of high bonding and insurance costs;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 xml:space="preserve">environmental regulations; </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effects of changes in laws and policies governing employees and by union organizing activity;</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increased unionization efforts and labor shortages;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potential scrutiny from Canadian authorities due to our status as a reporting issuer under applicable securities legislation in all of the provinces and territories of Canada, being classified thereunder as an “SEC Foreign Issuer” for the purposes of Canadian securities laws;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potential divestment of licenses if required by regulatory authorities;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 xml:space="preserve">our dependency on the banking industry; </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required public disclosure and governmental filings containing personal information of our officers, investors and other stakeholders;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 xml:space="preserve">potential findings by regulatory authorities that one of our stockholders is unsuitable; </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the risk that our directors, officers, employees or investors are barred from entering the U.S.;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the ability to, and constraints on, promoting and marketing cannabis products;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 xml:space="preserve">potential U.S. Food and Drug Administration governance of the cannabis industry; </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the potential limitations on our ability to enforce our contracts or any liens granted to us;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the potential lack of access to federal bankruptcy protections in the U.S.;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reliance on information technology systems, the potential disclosure of personal information of patients and customers and cybersecurity risks;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our increasing use of, or failure to effectively implement, artificial intelligence (AI) and automated systems;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 xml:space="preserve">our reliance on third-party software providers;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v</w:t>
                      </w:r>
                    </w:p>
                  </w:txbxContent>
                </v:textbox>
                <w10:wrap type="none"/>
              </v:rect>
            </w:pict>
          </mc:Fallback>
        </mc:AlternateContent>
      </w:r>
    </w:p>
    <w:p>
      <w:pPr>
        <w:pStyle w:val="TextBody"/>
        <w:bidi w:val="0"/>
        <w:spacing w:lineRule="auto" w:line="288" w:before="200" w:after="283"/>
        <w:jc w:val="both"/>
        <w:rPr/>
      </w:pPr>
      <w:hyperlink w:anchor="i4eefff2545794af2a9cb746809773a6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costs related to preserving our brand identity;</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our ability to protect our intellectual property due to limited intellectual property protection available for cannabis products and the potential infringement by third parties;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 xml:space="preserve">potential infringement or misappropriation claims; </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the risk of financial crimes;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the inability to realize the anticipated benefits of the Company’s continuance out from the jurisdiction of the Province of British Columbia, Canada, to the jurisdiction of the U.S. State of Nevada (the “Continuance”), or to do so within the anticipated timeframe;</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the risk of receiving no return on our securities;</w:t>
      </w:r>
    </w:p>
    <w:p>
      <w:pPr>
        <w:pStyle w:val="TextBody"/>
        <w:bidi w:val="0"/>
        <w:spacing w:lineRule="auto" w:line="276" w:before="0" w:after="2"/>
        <w:ind w:left="0" w:right="0" w:hanging="360"/>
        <w:jc w:val="left"/>
        <w:rPr/>
      </w:pPr>
      <w:r>
        <w:rPr>
          <w:color w:val="000000"/>
        </w:rPr>
        <w:t>•</w:t>
      </w:r>
      <w:r>
        <w:rPr>
          <w:rFonts w:ascii="Times New Roman;serif" w:hAnsi="Times New Roman;serif"/>
          <w:b w:val="false"/>
          <w:color w:val="000000"/>
          <w:sz w:val="20"/>
        </w:rPr>
        <w:t>our elimination of individual liability and indemnification rights against our directors, officers and employees under Nevada law;</w:t>
      </w:r>
    </w:p>
    <w:p>
      <w:pPr>
        <w:pStyle w:val="TextBody"/>
        <w:bidi w:val="0"/>
        <w:spacing w:lineRule="auto" w:line="276" w:before="0" w:after="2"/>
        <w:ind w:left="0" w:right="0" w:hanging="360"/>
        <w:jc w:val="left"/>
        <w:rPr/>
      </w:pPr>
      <w:r>
        <w:rPr>
          <w:color w:val="000000"/>
        </w:rPr>
        <w:t>•</w:t>
      </w:r>
      <w:r>
        <w:rPr>
          <w:rFonts w:ascii="Times New Roman;serif" w:hAnsi="Times New Roman;serif"/>
          <w:b w:val="false"/>
          <w:color w:val="000000"/>
          <w:sz w:val="20"/>
        </w:rPr>
        <w:t>our organizational documents contain provisions that may prevent transactions that could be beneficial to our stockholders and may insulate our management from removal;</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the time and resources necessary to comply with corporate governance practices and securities rules and regulations;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 xml:space="preserve">our management’s ability to maintain effective internal controls; </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 xml:space="preserve">potential dilution if we issue additional shares of common stock, par value $0.001 (“Common Stock”); </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 xml:space="preserve">market perception of sales of a substantial amount of Common Stock; </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 xml:space="preserve">transfer restrictions on our Common Stock; </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price volatility of our Common Stock;</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our stockholders’ limited participation in our affairs;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our expectation to not declare or pay out dividends;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certain of our stockholders holding Common Stock representing greater than 5% of our voting power;</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the taxation of cannabis companies in the U.S., including the impact of Section 280E of the Internal Revenue Code of 1986, as amended (“Section 280E”);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risks described in the Company's Annual Report on Form 10-K for the fiscal year ended December 31, 2025 filed with the U.S. Securities and Exchange Commission on March 12, 2026, as more particularly described under the heading “Item 1A. Risk Factors” therein.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Although we believe that the expectations and assumptions on which forward-looking statements are based are reasonable at the time made, undue reliance should not be placed on the forward-looking statements, because no assurance can be given that they will prove to be correct. Forward-looking statements address future events and conditions, and thus involve inherent risks and uncertainties. Readers are cautioned that the above list of cautionary statements is not exhaustive.</w:t>
      </w:r>
    </w:p>
    <w:p>
      <w:pPr>
        <w:pStyle w:val="TextBody"/>
        <w:bidi w:val="0"/>
        <w:spacing w:lineRule="auto" w:line="288" w:before="240" w:after="2"/>
        <w:jc w:val="both"/>
        <w:rPr>
          <w:rFonts w:ascii="Times New Roman;serif" w:hAnsi="Times New Roman;serif"/>
          <w:b w:val="false"/>
          <w:color w:val="000000"/>
          <w:sz w:val="20"/>
        </w:rPr>
      </w:pPr>
      <w:r>
        <w:rPr>
          <w:rFonts w:ascii="Times New Roman;serif" w:hAnsi="Times New Roman;serif"/>
          <w:b w:val="false"/>
          <w:color w:val="000000"/>
          <w:sz w:val="20"/>
        </w:rPr>
        <w:t>The cannabis industry involves risks and uncertainties that are subject to change based on various factors. Certain forward-looking statements contained herein concerning the cannabis industry and our general expectations concerning the cannabis industry are based on estimates prepared by us using data from publicly available governmental sources as well as from market research and industry analysis and on assumptions based on data and knowledge of the cannabis industry. Such data is inherently imprecise.</w:t>
      </w:r>
    </w:p>
    <w:p>
      <w:pPr>
        <w:pStyle w:val="TextBody"/>
        <w:bidi w:val="0"/>
        <w:spacing w:lineRule="auto" w:line="288" w:before="240" w:after="2"/>
        <w:jc w:val="both"/>
        <w:rPr>
          <w:rFonts w:ascii="Times New Roman;serif" w:hAnsi="Times New Roman;serif"/>
          <w:b w:val="false"/>
          <w:color w:val="000000"/>
          <w:sz w:val="20"/>
        </w:rPr>
      </w:pPr>
      <w:r>
        <w:rPr>
          <w:rFonts w:ascii="Times New Roman;serif" w:hAnsi="Times New Roman;serif"/>
          <w:b w:val="false"/>
          <w:color w:val="000000"/>
          <w:sz w:val="20"/>
        </w:rPr>
        <w:t>Consequently, all forward-looking statements made in this Form 10-Q and our other documents are qualified by such cautionary statements and there can be no assurance that the anticipated results or developments will actually be realized or, even if realized, that they will have the expected consequences to or effects on us. We do not undertake any obligation to update or revise any forward-looking statements, whether as a result of new information, future events or otherwise, other than as required under applicable securities legislation.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vi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vi</w:t>
                      </w:r>
                    </w:p>
                  </w:txbxContent>
                </v:textbox>
                <w10:wrap type="none"/>
              </v:rect>
            </w:pict>
          </mc:Fallback>
        </mc:AlternateContent>
      </w:r>
    </w:p>
    <w:p>
      <w:pPr>
        <w:pStyle w:val="TextBody"/>
        <w:bidi w:val="0"/>
        <w:spacing w:lineRule="auto" w:line="288" w:before="200" w:after="283"/>
        <w:jc w:val="both"/>
        <w:rPr/>
      </w:pPr>
      <w:hyperlink w:anchor="i4eefff2545794af2a9cb746809773a6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UNAUDITED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00" w:after="2"/>
        <w:jc w:val="both"/>
        <w:rPr/>
      </w:pPr>
      <w:hyperlink w:anchor="i4eefff2545794af2a9cb746809773a65_7">
        <w:r>
          <w:rPr>
            <w:rStyle w:val="InternetLink"/>
            <w:rFonts w:ascii="Times New Roman;serif" w:hAnsi="Times New Roman;serif"/>
            <w:b w:val="false"/>
            <w:color w:val="0000FF"/>
            <w:sz w:val="20"/>
            <w:u w:val="single"/>
          </w:rPr>
          <w:t>Table of Contents</w:t>
        </w:r>
      </w:hyperlink>
    </w:p>
    <w:tbl>
      <w:tblPr>
        <w:tblW w:w="3540" w:type="dxa"/>
        <w:jc w:val="left"/>
        <w:tblInd w:w="0" w:type="dxa"/>
        <w:tblLayout w:type="fixed"/>
        <w:tblCellMar>
          <w:top w:w="28" w:type="dxa"/>
          <w:left w:w="28" w:type="dxa"/>
          <w:bottom w:w="28" w:type="dxa"/>
          <w:right w:w="28" w:type="dxa"/>
        </w:tblCellMar>
      </w:tblPr>
      <w:tblGrid>
        <w:gridCol w:w="1132"/>
        <w:gridCol w:w="996"/>
        <w:gridCol w:w="1412"/>
      </w:tblGrid>
      <w:tr>
        <w:trPr/>
        <w:tc>
          <w:tcPr>
            <w:tcW w:w="113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200" w:after="2"/>
              <w:jc w:val="center"/>
              <w:rPr>
                <w:rFonts w:ascii="Times New Roman;serif" w:hAnsi="Times New Roman;serif"/>
                <w:b/>
                <w:color w:val="000000"/>
                <w:sz w:val="20"/>
              </w:rPr>
            </w:pPr>
            <w:r>
              <w:rPr>
                <w:rFonts w:ascii="Times New Roman;serif" w:hAnsi="Times New Roman;serif"/>
                <w:b/>
                <w:color w:val="000000"/>
                <w:sz w:val="20"/>
              </w:rPr>
              <w:t>VERANO HOLDINGS CORP.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in Thousands)</w:t>
            </w:r>
          </w:p>
        </w:tc>
      </w:tr>
    </w:tbl>
    <w:tbl>
      <w:tblPr>
        <w:tblW w:w="10205" w:type="dxa"/>
        <w:jc w:val="left"/>
        <w:tblInd w:w="0" w:type="dxa"/>
        <w:tblLayout w:type="fixed"/>
        <w:tblCellMar>
          <w:top w:w="28" w:type="dxa"/>
          <w:left w:w="28" w:type="dxa"/>
          <w:bottom w:w="28" w:type="dxa"/>
          <w:right w:w="28" w:type="dxa"/>
        </w:tblCellMar>
      </w:tblPr>
      <w:tblGrid>
        <w:gridCol w:w="3058"/>
        <w:gridCol w:w="2107"/>
        <w:gridCol w:w="2075"/>
        <w:gridCol w:w="211"/>
        <w:gridCol w:w="976"/>
        <w:gridCol w:w="109"/>
        <w:gridCol w:w="109"/>
        <w:gridCol w:w="109"/>
        <w:gridCol w:w="109"/>
        <w:gridCol w:w="211"/>
        <w:gridCol w:w="976"/>
        <w:gridCol w:w="155"/>
      </w:tblGrid>
      <w:tr>
        <w:trPr/>
        <w:tc>
          <w:tcPr>
            <w:tcW w:w="3058"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85,195 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82,724 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30,930 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Held for Sale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27,839 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222,204 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229,968 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11,986 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21,204 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404,282 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404,651 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485,138 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492,473 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93,806 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550,120 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579,090 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161,009 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161,009 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Deposits and 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10,565 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1,699,243 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1,741,594 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38,737 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69,301 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12,122 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Current Portion of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11,979 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Current Portion of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Acquisition Consideration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109,366 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140,261 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Long-Term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Debt, net of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382,064 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391,883 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Lease Liabilities, net of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88,507 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91,086 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Uncertain Tax Positions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400,743 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378,261 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36,643 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Long-Term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915,164 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898,954 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1,024,530 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1,039,215 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1,000,000,000 authorized. 73,537,970 issued and 73,217,970 outstanding as of June 30, 2026. 72,649,102 issued and outstanding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1,000,000,000 authorized. No Preferred Stock issued or outstanding as of June 30, 2026 and December 31,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Share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1,751,205 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1,745,597 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Treasury Stock; 320,000 shares held as of June 30, 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Accumulated OCI</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(1,072,748)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(1,041,514)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676,529 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704,156 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NON-CONTROLLING INTEREST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(1,777)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1,699,243 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1,741,594 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30835"/>
                <wp:effectExtent l="0" t="0" r="0" b="0"/>
                <wp:wrapNone/>
                <wp:docPr id="8" name="Frame8"/>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interim condensed consolidated financial statements.</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interim condensed consolidated financial statements.</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00" w:after="283"/>
        <w:jc w:val="both"/>
        <w:rPr/>
      </w:pPr>
      <w:hyperlink w:anchor="i4eefff2545794af2a9cb746809773a65_7">
        <w:r>
          <w:rPr>
            <w:rStyle w:val="InternetLink"/>
            <w:rFonts w:ascii="Times New Roman;serif" w:hAnsi="Times New Roman;serif"/>
            <w:b w:val="false"/>
            <w:color w:val="0000FF"/>
            <w:sz w:val="20"/>
            <w:u w:val="single"/>
          </w:rPr>
          <w:t>Table of Contents</w:t>
        </w:r>
      </w:hyperlink>
    </w:p>
    <w:tbl>
      <w:tblPr>
        <w:tblW w:w="5999" w:type="dxa"/>
        <w:jc w:val="left"/>
        <w:tblInd w:w="0" w:type="dxa"/>
        <w:tblLayout w:type="fixed"/>
        <w:tblCellMar>
          <w:top w:w="28" w:type="dxa"/>
          <w:left w:w="28" w:type="dxa"/>
          <w:bottom w:w="28" w:type="dxa"/>
          <w:right w:w="28" w:type="dxa"/>
        </w:tblCellMar>
      </w:tblPr>
      <w:tblGrid>
        <w:gridCol w:w="1918"/>
        <w:gridCol w:w="1688"/>
        <w:gridCol w:w="2393"/>
      </w:tblGrid>
      <w:tr>
        <w:trPr/>
        <w:tc>
          <w:tcPr>
            <w:tcW w:w="1918"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lineRule="auto" w:line="288" w:before="200" w:after="2"/>
              <w:jc w:val="center"/>
              <w:rPr>
                <w:rFonts w:ascii="Times New Roman;serif" w:hAnsi="Times New Roman;serif"/>
                <w:b/>
                <w:color w:val="000000"/>
                <w:sz w:val="20"/>
              </w:rPr>
            </w:pPr>
            <w:r>
              <w:rPr>
                <w:rFonts w:ascii="Times New Roman;serif" w:hAnsi="Times New Roman;serif"/>
                <w:b/>
                <w:color w:val="000000"/>
                <w:sz w:val="20"/>
              </w:rPr>
              <w:t>VERANO HOLDINGS CORP.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Interim Condensed Consolidated Statements of Operations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in Thousands except shares and per share amounts)</w:t>
            </w:r>
          </w:p>
        </w:tc>
      </w:tr>
    </w:tbl>
    <w:p>
      <w:pPr>
        <w:pStyle w:val="TextBody"/>
        <w:bidi w:val="0"/>
        <w:spacing w:before="200" w:after="283"/>
        <w:jc w:val="both"/>
        <w:rPr/>
      </w:pPr>
      <w:r>
        <w:rPr/>
      </w:r>
    </w:p>
    <w:tbl>
      <w:tblPr>
        <w:tblW w:w="10205" w:type="dxa"/>
        <w:jc w:val="left"/>
        <w:tblInd w:w="0" w:type="dxa"/>
        <w:tblLayout w:type="fixed"/>
        <w:tblCellMar>
          <w:top w:w="28" w:type="dxa"/>
          <w:left w:w="28" w:type="dxa"/>
          <w:bottom w:w="28" w:type="dxa"/>
          <w:right w:w="28" w:type="dxa"/>
        </w:tblCellMar>
      </w:tblPr>
      <w:tblGrid>
        <w:gridCol w:w="1566"/>
        <w:gridCol w:w="1214"/>
        <w:gridCol w:w="1218"/>
        <w:gridCol w:w="109"/>
        <w:gridCol w:w="109"/>
        <w:gridCol w:w="109"/>
        <w:gridCol w:w="229"/>
        <w:gridCol w:w="882"/>
        <w:gridCol w:w="114"/>
        <w:gridCol w:w="114"/>
        <w:gridCol w:w="114"/>
        <w:gridCol w:w="114"/>
        <w:gridCol w:w="229"/>
        <w:gridCol w:w="882"/>
        <w:gridCol w:w="114"/>
        <w:gridCol w:w="109"/>
        <w:gridCol w:w="109"/>
        <w:gridCol w:w="109"/>
        <w:gridCol w:w="219"/>
        <w:gridCol w:w="862"/>
        <w:gridCol w:w="109"/>
        <w:gridCol w:w="109"/>
        <w:gridCol w:w="109"/>
        <w:gridCol w:w="109"/>
        <w:gridCol w:w="219"/>
        <w:gridCol w:w="862"/>
        <w:gridCol w:w="163"/>
      </w:tblGrid>
      <w:tr>
        <w:trPr/>
        <w:tc>
          <w:tcPr>
            <w:tcW w:w="156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Revenues, net of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217,918 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202,272 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426,096 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412,081 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Cost of Goods Sold,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118,219 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89,288 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227,421 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199,516 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99,699 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112,984 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198,675 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212,565 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92,494 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86,345 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178,371 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170,924 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on Impairment of Held for Sale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on Impairment of Fixed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96,556 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86,773 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182,433 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171,352 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26,211 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41,213 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Gain (Loss) on Disposal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Gain on Deconsolidation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4,739 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Gain (Loss)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2,884 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(11,258)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(14,207)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(27,769)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(2,383)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(13,629)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(10,209)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(19,377)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Income (Loss)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(10,486)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16,002 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21,836 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(2,925)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(35,152)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(52,501)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Net Loss Attributable to Verano Holdings Corp. &amp;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(13,411)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(19,150)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(30,665)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per share – basic &amp;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(0.43)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Basic &amp; Diluted – 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73,014,886 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72,073,755 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72,845,021 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71,952,114 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30835"/>
                <wp:effectExtent l="0" t="0" r="0" b="0"/>
                <wp:wrapNone/>
                <wp:docPr id="9" name="Frame9"/>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interim condensed consolidated financial statements.</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interim condensed consolidated financial statements.</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00" w:after="2"/>
        <w:jc w:val="both"/>
        <w:rPr/>
      </w:pPr>
      <w:hyperlink w:anchor="i4eefff2545794af2a9cb746809773a65_7">
        <w:r>
          <w:rPr>
            <w:rStyle w:val="InternetLink"/>
            <w:rFonts w:ascii="Times New Roman;serif" w:hAnsi="Times New Roman;serif"/>
            <w:b w:val="false"/>
            <w:color w:val="0000FF"/>
            <w:sz w:val="20"/>
            <w:u w:val="single"/>
          </w:rPr>
          <w:t>Table of Contents</w:t>
        </w:r>
      </w:hyperlink>
    </w:p>
    <w:tbl>
      <w:tblPr>
        <w:tblW w:w="7845" w:type="dxa"/>
        <w:jc w:val="center"/>
        <w:tblInd w:w="0" w:type="dxa"/>
        <w:tblLayout w:type="fixed"/>
        <w:tblCellMar>
          <w:top w:w="28" w:type="dxa"/>
          <w:left w:w="28" w:type="dxa"/>
          <w:bottom w:w="28" w:type="dxa"/>
          <w:right w:w="28" w:type="dxa"/>
        </w:tblCellMar>
      </w:tblPr>
      <w:tblGrid>
        <w:gridCol w:w="2512"/>
        <w:gridCol w:w="2209"/>
        <w:gridCol w:w="3124"/>
      </w:tblGrid>
      <w:tr>
        <w:trPr/>
        <w:tc>
          <w:tcPr>
            <w:tcW w:w="2512"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3124" w:type="dxa"/>
            <w:tcBorders/>
            <w:vAlign w:val="center"/>
          </w:tcPr>
          <w:p>
            <w:pPr>
              <w:pStyle w:val="TableContents"/>
              <w:bidi w:val="0"/>
              <w:spacing w:before="0" w:after="283"/>
              <w:jc w:val="left"/>
              <w:rPr>
                <w:sz w:val="4"/>
                <w:szCs w:val="4"/>
              </w:rPr>
            </w:pPr>
            <w:r>
              <w:rPr>
                <w:sz w:val="4"/>
                <w:szCs w:val="4"/>
              </w:rPr>
            </w:r>
          </w:p>
        </w:tc>
      </w:tr>
      <w:tr>
        <w:trPr/>
        <w:tc>
          <w:tcPr>
            <w:tcW w:w="7845" w:type="dxa"/>
            <w:gridSpan w:val="3"/>
            <w:tcBorders/>
            <w:tcMar>
              <w:top w:w="0" w:type="dxa"/>
              <w:left w:w="0" w:type="dxa"/>
              <w:bottom w:w="0" w:type="dxa"/>
              <w:right w:w="0" w:type="dxa"/>
            </w:tcMar>
            <w:vAlign w:val="center"/>
          </w:tcPr>
          <w:p>
            <w:pPr>
              <w:pStyle w:val="TableContents"/>
              <w:bidi w:val="0"/>
              <w:spacing w:lineRule="auto" w:line="288" w:before="200" w:after="2"/>
              <w:jc w:val="center"/>
              <w:rPr>
                <w:rFonts w:ascii="Times New Roman;serif" w:hAnsi="Times New Roman;serif"/>
                <w:b/>
                <w:color w:val="000000"/>
                <w:sz w:val="20"/>
              </w:rPr>
            </w:pPr>
            <w:r>
              <w:rPr>
                <w:rFonts w:ascii="Times New Roman;serif" w:hAnsi="Times New Roman;serif"/>
                <w:b/>
                <w:color w:val="000000"/>
                <w:sz w:val="20"/>
              </w:rPr>
              <w:t>VERANO HOLDINGS CORP.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Interim Condensed Consolidated Statements of Changes in Stockholders' Equity </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in Thousands)</w:t>
            </w:r>
          </w:p>
        </w:tc>
      </w:tr>
    </w:tbl>
    <w:p>
      <w:pPr>
        <w:pStyle w:val="TextBody"/>
        <w:bidi w:val="0"/>
        <w:spacing w:before="200" w:after="283"/>
        <w:jc w:val="center"/>
        <w:rPr/>
      </w:pPr>
      <w:r>
        <w:rPr/>
      </w:r>
    </w:p>
    <w:tbl>
      <w:tblPr>
        <w:tblW w:w="12908" w:type="dxa"/>
        <w:jc w:val="center"/>
        <w:tblInd w:w="0" w:type="dxa"/>
        <w:tblLayout w:type="fixed"/>
        <w:tblCellMar>
          <w:top w:w="28" w:type="dxa"/>
          <w:left w:w="28" w:type="dxa"/>
          <w:bottom w:w="28" w:type="dxa"/>
          <w:right w:w="28" w:type="dxa"/>
        </w:tblCellMar>
      </w:tblPr>
      <w:tblGrid>
        <w:gridCol w:w="640"/>
        <w:gridCol w:w="220"/>
        <w:gridCol w:w="221"/>
        <w:gridCol w:w="631"/>
        <w:gridCol w:w="330"/>
        <w:gridCol w:w="331"/>
        <w:gridCol w:w="109"/>
        <w:gridCol w:w="109"/>
        <w:gridCol w:w="109"/>
        <w:gridCol w:w="203"/>
        <w:gridCol w:w="203"/>
        <w:gridCol w:w="196"/>
        <w:gridCol w:w="109"/>
        <w:gridCol w:w="109"/>
        <w:gridCol w:w="109"/>
        <w:gridCol w:w="196"/>
        <w:gridCol w:w="406"/>
        <w:gridCol w:w="109"/>
        <w:gridCol w:w="109"/>
        <w:gridCol w:w="109"/>
        <w:gridCol w:w="109"/>
        <w:gridCol w:w="196"/>
        <w:gridCol w:w="871"/>
        <w:gridCol w:w="109"/>
        <w:gridCol w:w="109"/>
        <w:gridCol w:w="109"/>
        <w:gridCol w:w="109"/>
        <w:gridCol w:w="211"/>
        <w:gridCol w:w="437"/>
        <w:gridCol w:w="118"/>
        <w:gridCol w:w="109"/>
        <w:gridCol w:w="109"/>
        <w:gridCol w:w="109"/>
        <w:gridCol w:w="436"/>
        <w:gridCol w:w="536"/>
        <w:gridCol w:w="244"/>
        <w:gridCol w:w="109"/>
        <w:gridCol w:w="109"/>
        <w:gridCol w:w="109"/>
        <w:gridCol w:w="196"/>
        <w:gridCol w:w="751"/>
        <w:gridCol w:w="109"/>
        <w:gridCol w:w="109"/>
        <w:gridCol w:w="109"/>
        <w:gridCol w:w="109"/>
        <w:gridCol w:w="292"/>
        <w:gridCol w:w="851"/>
        <w:gridCol w:w="163"/>
        <w:gridCol w:w="109"/>
        <w:gridCol w:w="109"/>
        <w:gridCol w:w="109"/>
        <w:gridCol w:w="196"/>
        <w:gridCol w:w="736"/>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vMerge w:val="restart"/>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Subordinate Voting Shares</w:t>
            </w:r>
          </w:p>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(as converted)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Share</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Non-Controlling</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Balance as of April 1,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71,943,664 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1,738,497 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(795,121)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(1,777)</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941,604 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352,874 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Contingent consideration &amp; other adjustments to purchase accounting</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59,445 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(19,150)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(19,150)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96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72,355,983 </w:t>
            </w:r>
          </w:p>
        </w:tc>
        <w:tc>
          <w:tcPr>
            <w:tcW w:w="3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1,741,501 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1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(814,271)</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(1,777)</w:t>
            </w:r>
          </w:p>
        </w:tc>
        <w:tc>
          <w:tcPr>
            <w:tcW w:w="16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925,455 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3522" w:type="dxa"/>
        <w:jc w:val="center"/>
        <w:tblInd w:w="0" w:type="dxa"/>
        <w:tblLayout w:type="fixed"/>
        <w:tblCellMar>
          <w:top w:w="28" w:type="dxa"/>
          <w:left w:w="28" w:type="dxa"/>
          <w:bottom w:w="28" w:type="dxa"/>
          <w:right w:w="28" w:type="dxa"/>
        </w:tblCellMar>
      </w:tblPr>
      <w:tblGrid>
        <w:gridCol w:w="754"/>
        <w:gridCol w:w="241"/>
        <w:gridCol w:w="221"/>
        <w:gridCol w:w="330"/>
        <w:gridCol w:w="330"/>
        <w:gridCol w:w="331"/>
        <w:gridCol w:w="109"/>
        <w:gridCol w:w="109"/>
        <w:gridCol w:w="109"/>
        <w:gridCol w:w="480"/>
        <w:gridCol w:w="481"/>
        <w:gridCol w:w="196"/>
        <w:gridCol w:w="109"/>
        <w:gridCol w:w="109"/>
        <w:gridCol w:w="109"/>
        <w:gridCol w:w="212"/>
        <w:gridCol w:w="359"/>
        <w:gridCol w:w="120"/>
        <w:gridCol w:w="109"/>
        <w:gridCol w:w="109"/>
        <w:gridCol w:w="109"/>
        <w:gridCol w:w="196"/>
        <w:gridCol w:w="871"/>
        <w:gridCol w:w="109"/>
        <w:gridCol w:w="109"/>
        <w:gridCol w:w="109"/>
        <w:gridCol w:w="109"/>
        <w:gridCol w:w="196"/>
        <w:gridCol w:w="571"/>
        <w:gridCol w:w="109"/>
        <w:gridCol w:w="109"/>
        <w:gridCol w:w="109"/>
        <w:gridCol w:w="109"/>
        <w:gridCol w:w="335"/>
        <w:gridCol w:w="694"/>
        <w:gridCol w:w="187"/>
        <w:gridCol w:w="109"/>
        <w:gridCol w:w="109"/>
        <w:gridCol w:w="109"/>
        <w:gridCol w:w="196"/>
        <w:gridCol w:w="886"/>
        <w:gridCol w:w="109"/>
        <w:gridCol w:w="109"/>
        <w:gridCol w:w="109"/>
        <w:gridCol w:w="109"/>
        <w:gridCol w:w="292"/>
        <w:gridCol w:w="851"/>
        <w:gridCol w:w="163"/>
        <w:gridCol w:w="109"/>
        <w:gridCol w:w="109"/>
        <w:gridCol w:w="109"/>
        <w:gridCol w:w="196"/>
        <w:gridCol w:w="736"/>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Subordinate Voting Shares</w:t>
            </w:r>
          </w:p>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(as converted)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Share</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Non-Controlling</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Balance as of April 1, 2026</w:t>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72,868,600 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1,747,610 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(1,059,337)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(1,777)</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686,570 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669,556 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3,597 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Distributions paid to non-controlling interest holders</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Fractional shares related to reverse-split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Purchase of stock - repurchase program</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(320,000)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(2,003)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(13,411)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(13,411)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Balance as of June 30, 2026</w:t>
            </w:r>
          </w:p>
        </w:tc>
        <w:tc>
          <w:tcPr>
            <w:tcW w:w="660"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3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73,217,970 </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1,751,205 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(2,003)</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(1,072,748)</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(1,816)</w:t>
            </w:r>
          </w:p>
        </w:tc>
        <w:tc>
          <w:tcPr>
            <w:tcW w:w="16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674,713 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30835"/>
                <wp:effectExtent l="0" t="0" r="0" b="0"/>
                <wp:wrapNone/>
                <wp:docPr id="10" name="Frame10"/>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interim condensed consolidated financial statements.</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interim condensed consolidated financial statements.</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00" w:after="2"/>
        <w:jc w:val="both"/>
        <w:rPr/>
      </w:pPr>
      <w:hyperlink w:anchor="i4eefff2545794af2a9cb746809773a65_7">
        <w:r>
          <w:rPr>
            <w:rStyle w:val="InternetLink"/>
            <w:rFonts w:ascii="Times New Roman;serif" w:hAnsi="Times New Roman;serif"/>
            <w:b w:val="false"/>
            <w:color w:val="0000FF"/>
            <w:sz w:val="20"/>
            <w:u w:val="single"/>
          </w:rPr>
          <w:t>Table of Contents</w:t>
        </w:r>
      </w:hyperlink>
    </w:p>
    <w:tbl>
      <w:tblPr>
        <w:tblW w:w="8835" w:type="dxa"/>
        <w:jc w:val="center"/>
        <w:tblInd w:w="0" w:type="dxa"/>
        <w:tblLayout w:type="fixed"/>
        <w:tblCellMar>
          <w:top w:w="28" w:type="dxa"/>
          <w:left w:w="28" w:type="dxa"/>
          <w:bottom w:w="28" w:type="dxa"/>
          <w:right w:w="28" w:type="dxa"/>
        </w:tblCellMar>
      </w:tblPr>
      <w:tblGrid>
        <w:gridCol w:w="2829"/>
        <w:gridCol w:w="2488"/>
        <w:gridCol w:w="3518"/>
      </w:tblGrid>
      <w:tr>
        <w:trPr/>
        <w:tc>
          <w:tcPr>
            <w:tcW w:w="2829"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3518" w:type="dxa"/>
            <w:tcBorders/>
            <w:vAlign w:val="center"/>
          </w:tcPr>
          <w:p>
            <w:pPr>
              <w:pStyle w:val="TableContents"/>
              <w:bidi w:val="0"/>
              <w:spacing w:before="0" w:after="283"/>
              <w:jc w:val="left"/>
              <w:rPr>
                <w:sz w:val="4"/>
                <w:szCs w:val="4"/>
              </w:rPr>
            </w:pPr>
            <w:r>
              <w:rPr>
                <w:sz w:val="4"/>
                <w:szCs w:val="4"/>
              </w:rPr>
            </w:r>
          </w:p>
        </w:tc>
      </w:tr>
      <w:tr>
        <w:trPr/>
        <w:tc>
          <w:tcPr>
            <w:tcW w:w="8835" w:type="dxa"/>
            <w:gridSpan w:val="3"/>
            <w:tcBorders/>
            <w:tcMar>
              <w:top w:w="0" w:type="dxa"/>
              <w:left w:w="0" w:type="dxa"/>
              <w:bottom w:w="0" w:type="dxa"/>
              <w:right w:w="0" w:type="dxa"/>
            </w:tcMar>
            <w:vAlign w:val="center"/>
          </w:tcPr>
          <w:p>
            <w:pPr>
              <w:pStyle w:val="TableContents"/>
              <w:bidi w:val="0"/>
              <w:spacing w:lineRule="auto" w:line="288" w:before="200" w:after="2"/>
              <w:jc w:val="center"/>
              <w:rPr>
                <w:rFonts w:ascii="Times New Roman;serif" w:hAnsi="Times New Roman;serif"/>
                <w:b/>
                <w:color w:val="000000"/>
                <w:sz w:val="20"/>
              </w:rPr>
            </w:pPr>
            <w:r>
              <w:rPr>
                <w:rFonts w:ascii="Times New Roman;serif" w:hAnsi="Times New Roman;serif"/>
                <w:b/>
                <w:color w:val="000000"/>
                <w:sz w:val="20"/>
              </w:rPr>
              <w:t>VERANO HOLDINGS CORP.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Interim Condensed Consolidated Statements of Changes in Stockholders' Equity (Continued)</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in Thousands)</w:t>
            </w:r>
          </w:p>
        </w:tc>
      </w:tr>
    </w:tbl>
    <w:tbl>
      <w:tblPr>
        <w:tblW w:w="13073" w:type="dxa"/>
        <w:jc w:val="center"/>
        <w:tblInd w:w="0" w:type="dxa"/>
        <w:tblLayout w:type="fixed"/>
        <w:tblCellMar>
          <w:top w:w="28" w:type="dxa"/>
          <w:left w:w="28" w:type="dxa"/>
          <w:bottom w:w="28" w:type="dxa"/>
          <w:right w:w="28" w:type="dxa"/>
        </w:tblCellMar>
      </w:tblPr>
      <w:tblGrid>
        <w:gridCol w:w="776"/>
        <w:gridCol w:w="234"/>
        <w:gridCol w:w="236"/>
        <w:gridCol w:w="631"/>
        <w:gridCol w:w="330"/>
        <w:gridCol w:w="331"/>
        <w:gridCol w:w="109"/>
        <w:gridCol w:w="109"/>
        <w:gridCol w:w="109"/>
        <w:gridCol w:w="203"/>
        <w:gridCol w:w="203"/>
        <w:gridCol w:w="196"/>
        <w:gridCol w:w="109"/>
        <w:gridCol w:w="109"/>
        <w:gridCol w:w="109"/>
        <w:gridCol w:w="196"/>
        <w:gridCol w:w="406"/>
        <w:gridCol w:w="109"/>
        <w:gridCol w:w="109"/>
        <w:gridCol w:w="109"/>
        <w:gridCol w:w="109"/>
        <w:gridCol w:w="196"/>
        <w:gridCol w:w="871"/>
        <w:gridCol w:w="109"/>
        <w:gridCol w:w="109"/>
        <w:gridCol w:w="109"/>
        <w:gridCol w:w="109"/>
        <w:gridCol w:w="211"/>
        <w:gridCol w:w="437"/>
        <w:gridCol w:w="118"/>
        <w:gridCol w:w="109"/>
        <w:gridCol w:w="109"/>
        <w:gridCol w:w="109"/>
        <w:gridCol w:w="436"/>
        <w:gridCol w:w="536"/>
        <w:gridCol w:w="244"/>
        <w:gridCol w:w="109"/>
        <w:gridCol w:w="109"/>
        <w:gridCol w:w="109"/>
        <w:gridCol w:w="196"/>
        <w:gridCol w:w="751"/>
        <w:gridCol w:w="109"/>
        <w:gridCol w:w="109"/>
        <w:gridCol w:w="109"/>
        <w:gridCol w:w="109"/>
        <w:gridCol w:w="292"/>
        <w:gridCol w:w="851"/>
        <w:gridCol w:w="163"/>
        <w:gridCol w:w="109"/>
        <w:gridCol w:w="109"/>
        <w:gridCol w:w="109"/>
        <w:gridCol w:w="196"/>
        <w:gridCol w:w="736"/>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vMerge w:val="restart"/>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Subordinate Voting Shares</w:t>
            </w:r>
          </w:p>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(as converted)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Share</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Earnings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Non-Controlling</w:t>
            </w:r>
          </w:p>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Balance as of January 1,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71,749,458 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1,735,775 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(783,606)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(1,355)</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950,819 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547,080 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Contingent consideration &amp; other adjustments to purchase accounting</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59,445 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Distributions paid to non-controlling interest holders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(4,672)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(4,672)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Non-controlling interest adjustment for change in ownership</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4,250 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(30,665)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(30,665)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96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72,355,983 </w:t>
            </w:r>
          </w:p>
        </w:tc>
        <w:tc>
          <w:tcPr>
            <w:tcW w:w="3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1,741,501 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1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(814,271)</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(1,777)</w:t>
            </w:r>
          </w:p>
        </w:tc>
        <w:tc>
          <w:tcPr>
            <w:tcW w:w="16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925,455 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3522" w:type="dxa"/>
        <w:jc w:val="center"/>
        <w:tblInd w:w="0" w:type="dxa"/>
        <w:tblLayout w:type="fixed"/>
        <w:tblCellMar>
          <w:top w:w="28" w:type="dxa"/>
          <w:left w:w="28" w:type="dxa"/>
          <w:bottom w:w="28" w:type="dxa"/>
          <w:right w:w="28" w:type="dxa"/>
        </w:tblCellMar>
      </w:tblPr>
      <w:tblGrid>
        <w:gridCol w:w="746"/>
        <w:gridCol w:w="234"/>
        <w:gridCol w:w="236"/>
        <w:gridCol w:w="330"/>
        <w:gridCol w:w="330"/>
        <w:gridCol w:w="331"/>
        <w:gridCol w:w="109"/>
        <w:gridCol w:w="109"/>
        <w:gridCol w:w="109"/>
        <w:gridCol w:w="480"/>
        <w:gridCol w:w="481"/>
        <w:gridCol w:w="196"/>
        <w:gridCol w:w="109"/>
        <w:gridCol w:w="109"/>
        <w:gridCol w:w="109"/>
        <w:gridCol w:w="212"/>
        <w:gridCol w:w="359"/>
        <w:gridCol w:w="120"/>
        <w:gridCol w:w="109"/>
        <w:gridCol w:w="109"/>
        <w:gridCol w:w="109"/>
        <w:gridCol w:w="196"/>
        <w:gridCol w:w="871"/>
        <w:gridCol w:w="109"/>
        <w:gridCol w:w="109"/>
        <w:gridCol w:w="109"/>
        <w:gridCol w:w="109"/>
        <w:gridCol w:w="196"/>
        <w:gridCol w:w="571"/>
        <w:gridCol w:w="109"/>
        <w:gridCol w:w="109"/>
        <w:gridCol w:w="109"/>
        <w:gridCol w:w="109"/>
        <w:gridCol w:w="335"/>
        <w:gridCol w:w="694"/>
        <w:gridCol w:w="187"/>
        <w:gridCol w:w="109"/>
        <w:gridCol w:w="109"/>
        <w:gridCol w:w="109"/>
        <w:gridCol w:w="196"/>
        <w:gridCol w:w="886"/>
        <w:gridCol w:w="109"/>
        <w:gridCol w:w="109"/>
        <w:gridCol w:w="109"/>
        <w:gridCol w:w="109"/>
        <w:gridCol w:w="292"/>
        <w:gridCol w:w="851"/>
        <w:gridCol w:w="163"/>
        <w:gridCol w:w="109"/>
        <w:gridCol w:w="109"/>
        <w:gridCol w:w="109"/>
        <w:gridCol w:w="196"/>
        <w:gridCol w:w="736"/>
        <w:gridCol w:w="154"/>
      </w:tblGrid>
      <w:tr>
        <w:trPr/>
        <w:tc>
          <w:tcPr>
            <w:tcW w:w="7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Subordinate Voting Shares</w:t>
            </w:r>
          </w:p>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(as converted)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Share</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Non-Controlling</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Balance as of January 1, 2026</w:t>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72,649,102 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1,745,597 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(1,041,514)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(1,777)</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702,379 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889,054 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Distributions paid to non-controlling interest holders</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Fractional shares related to reverse split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Purchase of stock - repurchase program</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(320,000)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(2,003)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(31,234)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(31,234)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Balance as of June 30, 2026</w:t>
            </w:r>
          </w:p>
        </w:tc>
        <w:tc>
          <w:tcPr>
            <w:tcW w:w="660"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3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73,217,970 </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1,751,205 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(2,003)</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(1,072,748)</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(1,816)</w:t>
            </w:r>
          </w:p>
        </w:tc>
        <w:tc>
          <w:tcPr>
            <w:tcW w:w="16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674,713 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30835"/>
                <wp:effectExtent l="0" t="0" r="0" b="0"/>
                <wp:wrapNone/>
                <wp:docPr id="11" name="Frame11"/>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interim condensed consolidated financial statements.</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interim condensed consolidated financial statements.</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00" w:after="283"/>
        <w:jc w:val="both"/>
        <w:rPr/>
      </w:pPr>
      <w:hyperlink w:anchor="i4eefff2545794af2a9cb746809773a65_7">
        <w:r>
          <w:rPr>
            <w:rStyle w:val="InternetLink"/>
            <w:rFonts w:ascii="Times New Roman;serif" w:hAnsi="Times New Roman;serif"/>
            <w:b w:val="false"/>
            <w:color w:val="0000FF"/>
            <w:sz w:val="20"/>
            <w:u w:val="single"/>
          </w:rPr>
          <w:t>Table of Contents</w:t>
        </w:r>
      </w:hyperlink>
    </w:p>
    <w:tbl>
      <w:tblPr>
        <w:tblW w:w="6014" w:type="dxa"/>
        <w:jc w:val="left"/>
        <w:tblInd w:w="0" w:type="dxa"/>
        <w:tblLayout w:type="fixed"/>
        <w:tblCellMar>
          <w:top w:w="28" w:type="dxa"/>
          <w:left w:w="28" w:type="dxa"/>
          <w:bottom w:w="28" w:type="dxa"/>
          <w:right w:w="28" w:type="dxa"/>
        </w:tblCellMar>
      </w:tblPr>
      <w:tblGrid>
        <w:gridCol w:w="1923"/>
        <w:gridCol w:w="1692"/>
        <w:gridCol w:w="2399"/>
      </w:tblGrid>
      <w:tr>
        <w:trPr/>
        <w:tc>
          <w:tcPr>
            <w:tcW w:w="1923"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lineRule="auto" w:line="288" w:before="200" w:after="2"/>
              <w:jc w:val="center"/>
              <w:rPr>
                <w:rFonts w:ascii="Times New Roman;serif" w:hAnsi="Times New Roman;serif"/>
                <w:b/>
                <w:color w:val="000000"/>
                <w:sz w:val="20"/>
              </w:rPr>
            </w:pPr>
            <w:r>
              <w:rPr>
                <w:rFonts w:ascii="Times New Roman;serif" w:hAnsi="Times New Roman;serif"/>
                <w:b/>
                <w:color w:val="000000"/>
                <w:sz w:val="20"/>
              </w:rPr>
              <w:t>VERANO HOLDINGS CORP.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Interim Condensed Consolidated Statements of Cash Flows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in Thousands)</w:t>
            </w:r>
          </w:p>
        </w:tc>
      </w:tr>
    </w:tbl>
    <w:tbl>
      <w:tblPr>
        <w:tblW w:w="7898" w:type="dxa"/>
        <w:jc w:val="left"/>
        <w:tblInd w:w="0" w:type="dxa"/>
        <w:tblLayout w:type="fixed"/>
        <w:tblCellMar>
          <w:top w:w="28" w:type="dxa"/>
          <w:left w:w="28" w:type="dxa"/>
          <w:bottom w:w="28" w:type="dxa"/>
          <w:right w:w="28" w:type="dxa"/>
        </w:tblCellMar>
      </w:tblPr>
      <w:tblGrid>
        <w:gridCol w:w="1978"/>
        <w:gridCol w:w="1735"/>
        <w:gridCol w:w="1746"/>
        <w:gridCol w:w="196"/>
        <w:gridCol w:w="736"/>
        <w:gridCol w:w="109"/>
        <w:gridCol w:w="109"/>
        <w:gridCol w:w="109"/>
        <w:gridCol w:w="109"/>
        <w:gridCol w:w="196"/>
        <w:gridCol w:w="721"/>
        <w:gridCol w:w="154"/>
      </w:tblGrid>
      <w:tr>
        <w:trPr/>
        <w:tc>
          <w:tcPr>
            <w:tcW w:w="1978"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CASH FLOW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loss attributable to Verano Holdings Corp. and Subsidiaries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(31,234)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(30,665)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58,619 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63,279 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Right-of-use assets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5,973 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Loss on disposal of 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(Gain) on deconsolidation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(4,739)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Loss on impairment of fixed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Loss on impairment of held for sale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(Gain) Loss on debt extinguishment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(2,884)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6,642 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Changes in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(31,210)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Income tax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(16,757)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Income tax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(12,122)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(32,598)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Uncertain tax positions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22,482 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29,936 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(1,730)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Other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Other liabilities,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(15,564)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(8,091)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49,211 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12,686 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CASH FLOW FROM 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Purchases of property, plant and equipment</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(26,807)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(24,333)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Proceeds from disposal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Proceeds from deconsolidation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(26,752)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(15,183)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CASH FLOW FROM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Proceeds from credit facility</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195,000 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Proceeds from issuance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Repayments on credit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(243,175)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Principal repayments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(23,141)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Debt issuance costs paid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Payment of debt extinguishment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Payment of deferred acquisition price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Distributions paid to non-controlling interest holders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(4,672)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Other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(19,988)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(16,727)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NET INCREASE (DECREASE) IN 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(19,224)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Effects of exchange rate fluctuations on 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CASH AND CASH EQUIVALENTS,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82,724 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87,796 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CASH AND CASH EQUIVALENTS, END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85,195 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68,569 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Interest paid, net</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21,101 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24,936 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NONCASH INVESTING AND FINANCING ACTIVITIES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Debt extinguishment in connection with deconsolidation</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1,146 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78485"/>
                <wp:effectExtent l="0" t="0" r="0" b="0"/>
                <wp:wrapNone/>
                <wp:docPr id="12" name="Frame12"/>
                <a:graphic xmlns:a="http://schemas.openxmlformats.org/drawingml/2006/main">
                  <a:graphicData uri="http://schemas.microsoft.com/office/word/2010/wordprocessingShape">
                    <wps:wsp>
                      <wps:cNvSpPr txBox="1"/>
                      <wps:spPr>
                        <a:xfrm>
                          <a:off x="0" y="0"/>
                          <a:ext cx="6480175" cy="5784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interim condensed consolidated financial statements.</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interim condensed consolidated financial statements.</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00" w:after="283"/>
        <w:jc w:val="both"/>
        <w:rPr/>
      </w:pPr>
      <w:hyperlink w:anchor="i4eefff2545794af2a9cb746809773a65_7">
        <w:r>
          <w:rPr>
            <w:rStyle w:val="InternetLink"/>
            <w:rFonts w:ascii="Times New Roman;serif" w:hAnsi="Times New Roman;serif"/>
            <w:b w:val="false"/>
            <w:color w:val="0000FF"/>
            <w:sz w:val="20"/>
            <w:u w:val="single"/>
          </w:rPr>
          <w:t>Table of Contents</w:t>
        </w:r>
      </w:hyperlink>
    </w:p>
    <w:tbl>
      <w:tblPr>
        <w:tblW w:w="6374" w:type="dxa"/>
        <w:jc w:val="left"/>
        <w:tblInd w:w="0" w:type="dxa"/>
        <w:tblLayout w:type="fixed"/>
        <w:tblCellMar>
          <w:top w:w="28" w:type="dxa"/>
          <w:left w:w="28" w:type="dxa"/>
          <w:bottom w:w="28" w:type="dxa"/>
          <w:right w:w="28" w:type="dxa"/>
        </w:tblCellMar>
      </w:tblPr>
      <w:tblGrid>
        <w:gridCol w:w="2038"/>
        <w:gridCol w:w="1793"/>
        <w:gridCol w:w="2543"/>
      </w:tblGrid>
      <w:tr>
        <w:trPr/>
        <w:tc>
          <w:tcPr>
            <w:tcW w:w="203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88" w:before="200" w:after="2"/>
              <w:jc w:val="center"/>
              <w:rPr>
                <w:rFonts w:ascii="Times New Roman;serif" w:hAnsi="Times New Roman;serif"/>
                <w:b/>
                <w:color w:val="000000"/>
                <w:sz w:val="20"/>
              </w:rPr>
            </w:pPr>
            <w:r>
              <w:rPr>
                <w:rFonts w:ascii="Times New Roman;serif" w:hAnsi="Times New Roman;serif"/>
                <w:b/>
                <w:color w:val="000000"/>
                <w:sz w:val="20"/>
              </w:rPr>
              <w:t>VERANO HOLDINGS CORP.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Interim Condensed Consolidated Financial Statements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in Thousands except shares and per share amounts)</w:t>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1.OVERVIEW AND BASIS OF PRESENTATION</w:t>
            </w:r>
          </w:p>
        </w:tc>
      </w:tr>
    </w:tbl>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(a)Description of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Unless otherwise stated or the context requires otherwise, references herein to the “Company,” “Verano,” “we,” “us,” and “our” mean Verano Holdings Corp. and its direct and indirect subsidiaries, and controlled and managed entities.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 a vertically integrated cannabis operator that focuses on limited-licensed markets in the United States (“U.S.”). As a vertically integrated operator, the Company owns, operates, manages, controls, and/or has licensing, consulting or other commercial agreements with cultivation, processing, and retail licenses across 13 state markets (Arizona, Connecticut, Florida, Illinois, Maryland, Massachusetts, Michigan, Nevada, New Jersey, Ohio, Pennsylvania, Virginia and West Virginia).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also conducts pre-licensing activities in other markets. In these markets, the Company has either received a conditional license, applied for licenses, or plans on applying for licenses, but does not currently operate or manage any operational cultivation, processing, or retail licenses.</w:t>
      </w:r>
    </w:p>
    <w:p>
      <w:pPr>
        <w:pStyle w:val="TextBody"/>
        <w:bidi w:val="0"/>
        <w:spacing w:lineRule="auto" w:line="288" w:before="240" w:after="283"/>
        <w:jc w:val="both"/>
        <w:rPr/>
      </w:pPr>
      <w:r>
        <w:rPr>
          <w:rFonts w:ascii="Times New Roman;serif" w:hAnsi="Times New Roman;serif"/>
          <w:b w:val="false"/>
          <w:color w:val="000000"/>
          <w:sz w:val="20"/>
        </w:rPr>
        <w:t>The Company’s common stock, par value $0.001 per share (“Common Stock”), is listed on Cboe Canada (“Cboe”) under the ticker symbol “VRNO” and is quoted in the United States on the OTCQX marketplace operated by the OTC Market Group, under the ticker symbol “VRNO”. Refer to “</w:t>
      </w:r>
      <w:r>
        <w:rPr>
          <w:rFonts w:ascii="Times New Roman;serif" w:hAnsi="Times New Roman;serif"/>
          <w:b w:val="false"/>
          <w:i/>
          <w:color w:val="000000"/>
          <w:sz w:val="20"/>
        </w:rPr>
        <w:t>Reverse Stock Split</w:t>
      </w:r>
      <w:r>
        <w:rPr>
          <w:color w:val="000000"/>
        </w:rPr>
        <w:t xml:space="preserve">” </w:t>
      </w:r>
      <w:r>
        <w:rPr>
          <w:rFonts w:ascii="Times New Roman;serif" w:hAnsi="Times New Roman;serif"/>
          <w:b w:val="false"/>
          <w:color w:val="000000"/>
          <w:sz w:val="20"/>
        </w:rPr>
        <w:t>below for further discussion.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corporate headquarters is located at 224 W Hill Street, Suite 400, Chicago, Illinois 60610.</w:t>
      </w: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(b)Basis of Presentation</w:t>
      </w:r>
    </w:p>
    <w:p>
      <w:pPr>
        <w:pStyle w:val="TextBody"/>
        <w:bidi w:val="0"/>
        <w:spacing w:lineRule="auto" w:line="288" w:before="240" w:after="283"/>
        <w:jc w:val="both"/>
        <w:rPr/>
      </w:pPr>
      <w:r>
        <w:rPr>
          <w:rFonts w:ascii="Times New Roman;serif" w:hAnsi="Times New Roman;serif"/>
          <w:b w:val="false"/>
          <w:color w:val="000000"/>
          <w:sz w:val="20"/>
        </w:rPr>
        <w:t>The accompanying Unaudited Interim Condensed Consolidated Financial Statements have been prepared in accordance with accounting principles generally accepted in the United States (“GAAP”) for interim financial information and in accordance with the rules and regulations of the U.S. Securities and Exchange Commission (“SEC”). Accordingly, certain information and disclosures required by GAAP for annual financial statements have been omitted. In the opinion of management, all adjustments, consisting of normal recurring adjustments, considered necessary for a fair presentation have been included. Unless otherwise indicated, all references to “$” or “US$” in this Form 10-Q refer to United States dollars. These Unaudited Interim Condensed Consolidated Financial Statements should be read in conjunction with the Company's audited consolidated financial statements and notes thereto as of and for the year ended December 31, 2025 (the “2025 Annual Audited Financials”), included in the Company’s Annual Report on Form 10-K filed with the SEC on March 12, 2026 (the “Form 10-K”). Certain prior year financial statement line items have been reclassified or aggregated to conform to the current year’s presentation (refer to “</w:t>
      </w:r>
      <w:r>
        <w:rPr>
          <w:rFonts w:ascii="Times New Roman;serif" w:hAnsi="Times New Roman;serif"/>
          <w:b w:val="false"/>
          <w:i/>
          <w:color w:val="000000"/>
          <w:sz w:val="20"/>
        </w:rPr>
        <w:t>Reverse Stock Split</w:t>
      </w:r>
      <w:r>
        <w:rPr>
          <w:color w:val="000000"/>
        </w:rPr>
        <w:t xml:space="preserve">” </w:t>
      </w:r>
      <w:r>
        <w:rPr>
          <w:rFonts w:ascii="Times New Roman;serif" w:hAnsi="Times New Roman;serif"/>
          <w:b w:val="false"/>
          <w:color w:val="000000"/>
          <w:sz w:val="20"/>
        </w:rPr>
        <w:t xml:space="preserve">below for further discussion). These changes did not affect previously reported results of operations or financial position. The accompanying Unaudited Interim Condensed Consolidated Financial Statements include the accounts of Verano Holdings Corp. and its direct and indirect subsidiaries as well as the accounts of any entities over which the Company has a controlling financial interest in accordance with Accounting Standards Codification (“ASC”) 810 </w:t>
      </w:r>
      <w:r>
        <w:rPr>
          <w:rFonts w:ascii="Times New Roman;serif" w:hAnsi="Times New Roman;serif"/>
          <w:b w:val="false"/>
          <w:i/>
          <w:color w:val="000000"/>
          <w:sz w:val="20"/>
        </w:rPr>
        <w:t xml:space="preserve">Consolidation </w:t>
      </w:r>
      <w:r>
        <w:rPr>
          <w:rFonts w:ascii="Times New Roman;serif" w:hAnsi="Times New Roman;serif"/>
          <w:b w:val="false"/>
          <w:color w:val="000000"/>
          <w:sz w:val="20"/>
        </w:rPr>
        <w:t>(“ASC 810”). The preparation of the Company’s Unaudited Interim Condensed Consolidated Financial Statements requires management to make estimates and assumptions that impact the reported amounts of assets, liabilities, revenue and expenses and the disclosure of assets and liabilities in such financial statements and in the accompanying notes. Actual results may differ materially from these estimates. The results of operations for the three and six months ended June 30, 2026 are not necessarily indicative of the results to be expected for the 2026 full year or any future periods. The accompanying consolidated balance sheet as of December 31, 2025 has been derived from the audited consolidated balance sheet as of December 31, 2025 contained in the 2025 Annual Audited Financials included in the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00" w:after="2"/>
        <w:jc w:val="both"/>
        <w:rPr/>
      </w:pPr>
      <w:hyperlink w:anchor="i4eefff2545794af2a9cb746809773a65_7">
        <w:r>
          <w:rPr>
            <w:rStyle w:val="InternetLink"/>
            <w:rFonts w:ascii="Times New Roman;serif" w:hAnsi="Times New Roman;serif"/>
            <w:b w:val="false"/>
            <w:color w:val="0000FF"/>
            <w:sz w:val="20"/>
            <w:u w:val="single"/>
          </w:rPr>
          <w:t>Table of Contents</w:t>
        </w:r>
      </w:hyperlink>
    </w:p>
    <w:tbl>
      <w:tblPr>
        <w:tblW w:w="6374" w:type="dxa"/>
        <w:jc w:val="left"/>
        <w:tblInd w:w="0" w:type="dxa"/>
        <w:tblLayout w:type="fixed"/>
        <w:tblCellMar>
          <w:top w:w="28" w:type="dxa"/>
          <w:left w:w="28" w:type="dxa"/>
          <w:bottom w:w="28" w:type="dxa"/>
          <w:right w:w="28" w:type="dxa"/>
        </w:tblCellMar>
      </w:tblPr>
      <w:tblGrid>
        <w:gridCol w:w="2038"/>
        <w:gridCol w:w="1793"/>
        <w:gridCol w:w="2543"/>
      </w:tblGrid>
      <w:tr>
        <w:trPr/>
        <w:tc>
          <w:tcPr>
            <w:tcW w:w="203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88" w:before="200" w:after="2"/>
              <w:jc w:val="center"/>
              <w:rPr>
                <w:rFonts w:ascii="Times New Roman;serif" w:hAnsi="Times New Roman;serif"/>
                <w:b/>
                <w:color w:val="000000"/>
                <w:sz w:val="20"/>
              </w:rPr>
            </w:pPr>
            <w:r>
              <w:rPr>
                <w:rFonts w:ascii="Times New Roman;serif" w:hAnsi="Times New Roman;serif"/>
                <w:b/>
                <w:color w:val="000000"/>
                <w:sz w:val="20"/>
              </w:rPr>
              <w:t>VERANO HOLDINGS CORP.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Interim Condensed Consolidated Financial Statements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in Thousands except shares and per share amounts)</w:t>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ind w:left="0" w:right="0" w:hanging="360"/>
              <w:jc w:val="both"/>
              <w:rPr/>
            </w:pPr>
            <w:r>
              <w:rPr>
                <w:rFonts w:ascii="Times New Roman;serif" w:hAnsi="Times New Roman;serif"/>
                <w:b/>
                <w:color w:val="000000"/>
                <w:sz w:val="20"/>
              </w:rPr>
              <w:t xml:space="preserve">1.OVERVIEW AND BASIS OF PRESENTATION </w:t>
            </w:r>
            <w:r>
              <w:rPr>
                <w:rFonts w:ascii="Times New Roman;serif" w:hAnsi="Times New Roman;serif"/>
                <w:b w:val="false"/>
                <w:i/>
                <w:color w:val="000000"/>
                <w:sz w:val="20"/>
              </w:rPr>
              <w:t>(Continued)</w:t>
            </w:r>
          </w:p>
        </w:tc>
      </w:tr>
    </w:tbl>
    <w:p>
      <w:pPr>
        <w:pStyle w:val="TextBody"/>
        <w:bidi w:val="0"/>
        <w:spacing w:before="200" w:after="283"/>
        <w:jc w:val="both"/>
        <w:rPr/>
      </w:pPr>
      <w:r>
        <w:rPr/>
      </w: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(c)Reverse Stock Split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June 11, 2026, the Company effected a 1-for-5 reverse stock split (the “Reverse Stock Split”) by filing a Certificate of Change with the Secretary of State of the State of Nevada (the “Certificate of Change”). As of June 10, 2026, the Company had 367,690,781 shares of Common Stock issued prior to the Reverse Stock Split, resulting in the number of issued shares of Common Stock following the Reverse Stock Split being 73,537,970 shares (adjusted for the rounding of fractional shares). In addition, pursuant to the Certificate of Change, a proportionate reduction was made to the Company’s authorized shares of Common Stock such that the number of authorized shares of Common Stock was reduced from 5,000,000,000 to 1,000,000,000. The authorized number of shares of the Company’s preferred stock, par value $0.001 (“Preferred Stock”) and the par value of each class of stock were not adjusted as a result of the Reverse Stock Split. Accordingly, all shares of Common Stock, restricted stock units (“RSUs”), stock options, share capital and per share information presented in the accompanying unaudited interim condensed consolidated financial statements and notes thereto have been retroactively adjusted, where applicable, to reflect the Reverse Stock Split.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Common Stock continues to trade on Cboe under the existing trading symbol “VRNO” and is quoted in the United States on the OTCQX under the trading symbol “VRNO”.</w:t>
      </w: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(d)Basis of Consolidation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Unaudited Interim Condensed Consolidated Financial Statements include the accounts of the Company and its subsidiaries, as well as the accounts of any entities over which the Company has a controlling financial interest in accordance with ASC 810. All transactions and balances between these entities have been eliminated upon consolidation.</w:t>
      </w: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(e)Significant Accounting Policies</w:t>
      </w:r>
    </w:p>
    <w:p>
      <w:pPr>
        <w:pStyle w:val="TextBody"/>
        <w:bidi w:val="0"/>
        <w:spacing w:lineRule="auto" w:line="288" w:before="240" w:after="283"/>
        <w:jc w:val="both"/>
        <w:rPr/>
      </w:pPr>
      <w:r>
        <w:rPr>
          <w:rFonts w:ascii="Times New Roman;serif" w:hAnsi="Times New Roman;serif"/>
          <w:b w:val="false"/>
          <w:color w:val="000000"/>
          <w:sz w:val="20"/>
        </w:rPr>
        <w:t xml:space="preserve">With the exception of Assets Held for Sale, as described below, there have been no changes to the Company’s significant accounting policies as described in </w:t>
      </w:r>
      <w:r>
        <w:rPr>
          <w:rFonts w:ascii="Times New Roman;serif" w:hAnsi="Times New Roman;serif"/>
          <w:b w:val="false"/>
          <w:i/>
          <w:color w:val="000000"/>
          <w:sz w:val="20"/>
        </w:rPr>
        <w:t>Note 2 - Significant Accounting Policies</w:t>
      </w:r>
      <w:r>
        <w:rPr>
          <w:color w:val="000000"/>
        </w:rPr>
        <w:t xml:space="preserve"> </w:t>
      </w:r>
      <w:r>
        <w:rPr>
          <w:rFonts w:ascii="Times New Roman;serif" w:hAnsi="Times New Roman;serif"/>
          <w:b w:val="false"/>
          <w:color w:val="000000"/>
          <w:sz w:val="20"/>
        </w:rPr>
        <w:t>to the 2025 Annual Audited Financials included in the Form 10-K.</w:t>
      </w: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i.Assets Held for Sale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Assets held for sale represent land, buildings and other fixed assets less accumulated depreciation related to facilities in which the Company has no continuing involvement. The Company records assets held for sale in accordance with ASC 360, Property, Plant, and Equipment, at the lower of carrying value or fair value less cost to sell. Fair value is based on the estimated proceeds from the sale of the facility utilizing recent purchase offers. In an effort to maximize its return on investments coupled with footprint optimization, the Company has $23,927 of assets held for sale. The Company has $21,725 of assets held for sale related to cultivation facilities in Florida and Massachusetts and $2,202 of assets held for sale related to two retail facilities in Massachusetts as of June 30, 2026. During the three months ended June 30, 2026, the Company recorded an impairment on a held-for-sale asset related to a cultivation facility in Massachusetts of $4,062 as the carrying value exceeded the fair value less the cost to sell by such amount.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00" w:after="2"/>
        <w:jc w:val="both"/>
        <w:rPr/>
      </w:pPr>
      <w:hyperlink w:anchor="i4eefff2545794af2a9cb746809773a65_7">
        <w:r>
          <w:rPr>
            <w:rStyle w:val="InternetLink"/>
            <w:rFonts w:ascii="Times New Roman;serif" w:hAnsi="Times New Roman;serif"/>
            <w:b w:val="false"/>
            <w:color w:val="0000FF"/>
            <w:sz w:val="20"/>
            <w:u w:val="single"/>
          </w:rPr>
          <w:t>Table of Contents</w:t>
        </w:r>
      </w:hyperlink>
    </w:p>
    <w:tbl>
      <w:tblPr>
        <w:tblW w:w="6374" w:type="dxa"/>
        <w:jc w:val="left"/>
        <w:tblInd w:w="0" w:type="dxa"/>
        <w:tblLayout w:type="fixed"/>
        <w:tblCellMar>
          <w:top w:w="28" w:type="dxa"/>
          <w:left w:w="28" w:type="dxa"/>
          <w:bottom w:w="28" w:type="dxa"/>
          <w:right w:w="28" w:type="dxa"/>
        </w:tblCellMar>
      </w:tblPr>
      <w:tblGrid>
        <w:gridCol w:w="2038"/>
        <w:gridCol w:w="1793"/>
        <w:gridCol w:w="2543"/>
      </w:tblGrid>
      <w:tr>
        <w:trPr/>
        <w:tc>
          <w:tcPr>
            <w:tcW w:w="203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88" w:before="200" w:after="2"/>
              <w:jc w:val="center"/>
              <w:rPr>
                <w:rFonts w:ascii="Times New Roman;serif" w:hAnsi="Times New Roman;serif"/>
                <w:b/>
                <w:color w:val="000000"/>
                <w:sz w:val="20"/>
              </w:rPr>
            </w:pPr>
            <w:r>
              <w:rPr>
                <w:rFonts w:ascii="Times New Roman;serif" w:hAnsi="Times New Roman;serif"/>
                <w:b/>
                <w:color w:val="000000"/>
                <w:sz w:val="20"/>
              </w:rPr>
              <w:t>VERANO HOLDINGS CORP.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Interim Condensed Consolidated Financial Statements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in Thousands except shares and per share amounts)</w:t>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ind w:left="0" w:right="0" w:hanging="360"/>
              <w:jc w:val="both"/>
              <w:rPr/>
            </w:pPr>
            <w:r>
              <w:rPr>
                <w:rFonts w:ascii="Times New Roman;serif" w:hAnsi="Times New Roman;serif"/>
                <w:b/>
                <w:color w:val="000000"/>
                <w:sz w:val="20"/>
              </w:rPr>
              <w:t xml:space="preserve">1.OVERVIEW AND BASIS OF PRESENTATION </w:t>
            </w:r>
            <w:r>
              <w:rPr>
                <w:rFonts w:ascii="Times New Roman;serif" w:hAnsi="Times New Roman;serif"/>
                <w:b w:val="false"/>
                <w:i/>
                <w:color w:val="000000"/>
                <w:sz w:val="20"/>
              </w:rPr>
              <w:t>(Continued)</w:t>
            </w:r>
          </w:p>
        </w:tc>
      </w:tr>
    </w:tbl>
    <w:p>
      <w:pPr>
        <w:pStyle w:val="TextBody"/>
        <w:bidi w:val="0"/>
        <w:spacing w:before="200" w:after="283"/>
        <w:jc w:val="both"/>
        <w:rPr/>
      </w:pPr>
      <w:r>
        <w:rPr/>
      </w: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(f)Earnings (Loss) per Share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Basic earnings (loss) per share is calculated using the treasury stock method, by dividing the net earnings (losses) attributable to stockholders by the weighted average number of shares of Common Stock outstanding during each of the periods presented. Contingently issuable shares (including shares held in escrow) are not considered outstanding shares and consequently are not included in the earnings (loss) per share calculations. Diluted income (loss) per share is calculated by adjusting the weighted average number of shares of Common Stock outstanding to assume conversion of all dilutive potential shares.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 determine diluted income (loss) per share, the Company assumes that any proceeds from the exercise of dilutive share options would be used to repurchase shares at the average market price during the period. The diluted income (loss) per share calculation excludes any potential conversion of share options and convertible debt, if any, that would increase earnings per share or decrease loss per share. No potentially dilutive share equivalents were included in the computation of diluted loss per share for the three and six months ended June 30, 2026 and 2025 because their impact would have been anti-dilutive.</w:t>
      </w:r>
    </w:p>
    <w:p>
      <w:pPr>
        <w:pStyle w:val="TextBody"/>
        <w:bidi w:val="0"/>
        <w:spacing w:lineRule="auto" w:line="288" w:before="200" w:after="283"/>
        <w:ind w:left="0" w:right="0" w:hanging="360"/>
        <w:jc w:val="both"/>
        <w:rPr>
          <w:rFonts w:ascii="Times New Roman;serif" w:hAnsi="Times New Roman;serif"/>
          <w:b/>
          <w:color w:val="000000"/>
          <w:sz w:val="20"/>
        </w:rPr>
      </w:pPr>
      <w:r>
        <w:rPr>
          <w:rFonts w:ascii="Times New Roman;serif" w:hAnsi="Times New Roman;serif"/>
          <w:b/>
          <w:color w:val="000000"/>
          <w:sz w:val="20"/>
        </w:rPr>
        <w:t>(g)Recently Adopted Accounting Pronouncements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September 2025, the Financial Accounting Standards Board issued Accounting Standards Update 2025-06, Intangibles - Goodwill and Other - Internal-Use Software (Subtopic 350-40): Targeted Improvements to the Accounting for Internal-Use Software (“ASU 2025-06”) which amends the guidance in ASC 350-40, Intangibles-Goodwill and Other-Internal-Use Software. The amendments modernize the recognition and disclosure framework for internal-use software costs, removing the previous “development stage” model and introducing a more judgment-based approach. ASU 2025-06 is effective for fiscal years beginning after December 15, 2027, and for interim periods within those annual reporting periods, with early adoption permitted. The Company early adopted ASU 2025-06 which did not have a material impact on the Company’s unaudited interim condensed consolidated financial statements.</w:t>
      </w:r>
    </w:p>
    <w:p>
      <w:pPr>
        <w:pStyle w:val="TextBody"/>
        <w:bidi w:val="0"/>
        <w:spacing w:lineRule="auto" w:line="288" w:before="200" w:after="283"/>
        <w:ind w:left="0" w:right="0" w:hanging="360"/>
        <w:jc w:val="both"/>
        <w:rPr>
          <w:rFonts w:ascii="Times New Roman;serif" w:hAnsi="Times New Roman;serif"/>
          <w:b/>
          <w:color w:val="000000"/>
          <w:sz w:val="20"/>
        </w:rPr>
      </w:pPr>
      <w:r>
        <w:rPr>
          <w:rFonts w:ascii="Times New Roman;serif" w:hAnsi="Times New Roman;serif"/>
          <w:b/>
          <w:color w:val="000000"/>
          <w:sz w:val="20"/>
        </w:rPr>
        <w:t>(h)Recently Issued Accounting Standards Not Yet Adopted</w:t>
      </w:r>
    </w:p>
    <w:p>
      <w:pPr>
        <w:pStyle w:val="TextBody"/>
        <w:bidi w:val="0"/>
        <w:spacing w:lineRule="auto" w:line="288" w:before="200" w:after="2"/>
        <w:jc w:val="both"/>
        <w:rPr>
          <w:rFonts w:ascii="Times New Roman;serif" w:hAnsi="Times New Roman;serif"/>
          <w:b w:val="false"/>
          <w:color w:val="000000"/>
          <w:sz w:val="20"/>
        </w:rPr>
      </w:pPr>
      <w:r>
        <w:rPr>
          <w:rFonts w:ascii="Times New Roman;serif" w:hAnsi="Times New Roman;serif"/>
          <w:b w:val="false"/>
          <w:color w:val="000000"/>
          <w:sz w:val="20"/>
        </w:rPr>
        <w:t>In December 2025, the Financial Accounting Standards Board issued Accounting Standards Update 2025-11, Interim Reporting (Topic 270): Narrow-Scope Improvements (“ASU 2025-11”) which amends the guidance in Topic 270, Interim Reporting. ASU 2025-11 improves the navigability of the required interim disclosures and clarifies when that guidance is applicable. ASU 2025-11 also provides additional guidance on what disclosures should be provided in interim reporting periods and adds a principle that requires entities to disclose events since the end of the last annual reporting period that have a material impact on the entity. ASU 2025-11 does not change the fundamental nature of interim reporting or expand or reduce current interim disclosure requirements. ASU 2025-11 is effective for interim reporting periods within annual reporting periods beginning after December 15, 2027, with early adoption permitted. While the Company is currently evaluating the impact of ASU 2025-11 on the consolidated financial statements, we do not expect it to have a material impact on our financial position or results of operations and we do not intend to early adopt.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November 2024, the Financial Accounting Standards Board issued Accounting Standards Update 2024-03, Income Statement-Reporting Comprehensive Income-Expense Disaggregation Disclosures (“ASU 2024-03”): Disaggregation of Income Statement Expenses (as clarified by ASU 2025-01). This guidance focuses on the disaggregation of income statement expenses. ASU 2024-03 requires entities to provide more detailed disclosures about the components of significant expense categories, enhancing the transparency and decision-usefulness of financial statements. The objective is to provide users with a clearer understanding of the nature and variability of expenses reported in the income statement. The standard is effective for annual periods of fiscal years beginning after December 15, 2026, and interim periods of fiscal years beginning after December 15, 2027 with early adoption permitted. The Company is currently assessing the impact of ASU 2024-03 on our financial statement disclosures. While we anticipate that the adoption of this standard will require additional disclosures, we do not expect it to have a material impact on our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00" w:after="2"/>
        <w:jc w:val="both"/>
        <w:rPr/>
      </w:pPr>
      <w:hyperlink w:anchor="i4eefff2545794af2a9cb746809773a65_7">
        <w:r>
          <w:rPr>
            <w:rStyle w:val="InternetLink"/>
            <w:rFonts w:ascii="Times New Roman;serif" w:hAnsi="Times New Roman;serif"/>
            <w:b w:val="false"/>
            <w:color w:val="0000FF"/>
            <w:sz w:val="20"/>
            <w:u w:val="single"/>
          </w:rPr>
          <w:t>Table of Contents</w:t>
        </w:r>
      </w:hyperlink>
    </w:p>
    <w:tbl>
      <w:tblPr>
        <w:tblW w:w="6374" w:type="dxa"/>
        <w:jc w:val="left"/>
        <w:tblInd w:w="0" w:type="dxa"/>
        <w:tblLayout w:type="fixed"/>
        <w:tblCellMar>
          <w:top w:w="28" w:type="dxa"/>
          <w:left w:w="28" w:type="dxa"/>
          <w:bottom w:w="28" w:type="dxa"/>
          <w:right w:w="28" w:type="dxa"/>
        </w:tblCellMar>
      </w:tblPr>
      <w:tblGrid>
        <w:gridCol w:w="2038"/>
        <w:gridCol w:w="1793"/>
        <w:gridCol w:w="2543"/>
      </w:tblGrid>
      <w:tr>
        <w:trPr/>
        <w:tc>
          <w:tcPr>
            <w:tcW w:w="203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88" w:before="200" w:after="2"/>
              <w:jc w:val="center"/>
              <w:rPr>
                <w:rFonts w:ascii="Times New Roman;serif" w:hAnsi="Times New Roman;serif"/>
                <w:b/>
                <w:color w:val="000000"/>
                <w:sz w:val="20"/>
              </w:rPr>
            </w:pPr>
            <w:r>
              <w:rPr>
                <w:rFonts w:ascii="Times New Roman;serif" w:hAnsi="Times New Roman;serif"/>
                <w:b/>
                <w:color w:val="000000"/>
                <w:sz w:val="20"/>
              </w:rPr>
              <w:t>VERANO HOLDINGS CORP.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Interim Condensed Consolidated Financial Statements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in Thousands except shares and per share amounts)</w:t>
            </w:r>
          </w:p>
        </w:tc>
      </w:tr>
      <w:tr>
        <w:trPr/>
        <w:tc>
          <w:tcPr>
            <w:tcW w:w="6374"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63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2.INVENTORY</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inventory consists of the following as of June 30, 2026 and December 31, 2025:</w:t>
      </w:r>
    </w:p>
    <w:tbl>
      <w:tblPr>
        <w:tblW w:w="5327" w:type="dxa"/>
        <w:jc w:val="left"/>
        <w:tblInd w:w="0" w:type="dxa"/>
        <w:tblLayout w:type="fixed"/>
        <w:tblCellMar>
          <w:top w:w="28" w:type="dxa"/>
          <w:left w:w="28" w:type="dxa"/>
          <w:bottom w:w="28" w:type="dxa"/>
          <w:right w:w="28" w:type="dxa"/>
        </w:tblCellMar>
      </w:tblPr>
      <w:tblGrid>
        <w:gridCol w:w="924"/>
        <w:gridCol w:w="811"/>
        <w:gridCol w:w="815"/>
        <w:gridCol w:w="211"/>
        <w:gridCol w:w="826"/>
        <w:gridCol w:w="109"/>
        <w:gridCol w:w="109"/>
        <w:gridCol w:w="109"/>
        <w:gridCol w:w="109"/>
        <w:gridCol w:w="231"/>
        <w:gridCol w:w="905"/>
        <w:gridCol w:w="168"/>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4,735 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147,592 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162,197 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Packaging and Miscellaneous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12,850 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50,186 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Inventory</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222,204 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229,968 </w:t>
            </w:r>
          </w:p>
        </w:tc>
        <w:tc>
          <w:tcPr>
            <w:tcW w:w="16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00" w:after="2"/>
        <w:jc w:val="both"/>
        <w:rPr/>
      </w:pPr>
      <w:hyperlink w:anchor="i4eefff2545794af2a9cb746809773a65_7">
        <w:r>
          <w:rPr>
            <w:rStyle w:val="InternetLink"/>
            <w:rFonts w:ascii="Times New Roman;serif" w:hAnsi="Times New Roman;serif"/>
            <w:b w:val="false"/>
            <w:color w:val="0000FF"/>
            <w:sz w:val="20"/>
            <w:u w:val="single"/>
          </w:rPr>
          <w:t>Table of Contents</w:t>
        </w:r>
      </w:hyperlink>
    </w:p>
    <w:tbl>
      <w:tblPr>
        <w:tblW w:w="6374" w:type="dxa"/>
        <w:jc w:val="left"/>
        <w:tblInd w:w="0" w:type="dxa"/>
        <w:tblLayout w:type="fixed"/>
        <w:tblCellMar>
          <w:top w:w="28" w:type="dxa"/>
          <w:left w:w="28" w:type="dxa"/>
          <w:bottom w:w="28" w:type="dxa"/>
          <w:right w:w="28" w:type="dxa"/>
        </w:tblCellMar>
      </w:tblPr>
      <w:tblGrid>
        <w:gridCol w:w="2038"/>
        <w:gridCol w:w="1793"/>
        <w:gridCol w:w="2543"/>
      </w:tblGrid>
      <w:tr>
        <w:trPr/>
        <w:tc>
          <w:tcPr>
            <w:tcW w:w="203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88" w:before="200" w:after="2"/>
              <w:jc w:val="center"/>
              <w:rPr>
                <w:rFonts w:ascii="Times New Roman;serif" w:hAnsi="Times New Roman;serif"/>
                <w:b/>
                <w:color w:val="000000"/>
                <w:sz w:val="20"/>
              </w:rPr>
            </w:pPr>
            <w:r>
              <w:rPr>
                <w:rFonts w:ascii="Times New Roman;serif" w:hAnsi="Times New Roman;serif"/>
                <w:b/>
                <w:color w:val="000000"/>
                <w:sz w:val="20"/>
              </w:rPr>
              <w:t>VERANO HOLDINGS CORP.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Interim Condensed Consolidated Financial Statements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in Thousands except shares and per share amounts)</w:t>
            </w:r>
          </w:p>
        </w:tc>
      </w:tr>
      <w:tr>
        <w:trPr/>
        <w:tc>
          <w:tcPr>
            <w:tcW w:w="6374"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63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3.PROPERTY, PLANT AND EQUIPMENT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and related accumulated depreciation consists of the following as of June 30, 2026 and December 31, 2025:</w:t>
      </w:r>
    </w:p>
    <w:tbl>
      <w:tblPr>
        <w:tblW w:w="6422" w:type="dxa"/>
        <w:jc w:val="left"/>
        <w:tblInd w:w="0" w:type="dxa"/>
        <w:tblLayout w:type="fixed"/>
        <w:tblCellMar>
          <w:top w:w="28" w:type="dxa"/>
          <w:left w:w="28" w:type="dxa"/>
          <w:bottom w:w="28" w:type="dxa"/>
          <w:right w:w="28" w:type="dxa"/>
        </w:tblCellMar>
      </w:tblPr>
      <w:tblGrid>
        <w:gridCol w:w="1319"/>
        <w:gridCol w:w="1157"/>
        <w:gridCol w:w="1169"/>
        <w:gridCol w:w="211"/>
        <w:gridCol w:w="826"/>
        <w:gridCol w:w="109"/>
        <w:gridCol w:w="109"/>
        <w:gridCol w:w="109"/>
        <w:gridCol w:w="109"/>
        <w:gridCol w:w="231"/>
        <w:gridCol w:w="905"/>
        <w:gridCol w:w="168"/>
      </w:tblGrid>
      <w:tr>
        <w:trPr/>
        <w:tc>
          <w:tcPr>
            <w:tcW w:w="131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26,057 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164,280 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162,898 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21,516 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29,294 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292,350 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282,719 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Tools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103,785 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99,635 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Vehicles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4,391 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Assets Under Construction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103,201 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100,173 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Gross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745,987 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726,683 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(260,849)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(234,210)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Property, Plant and Equipment, Net</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485,138 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492,473 </w:t>
            </w:r>
          </w:p>
        </w:tc>
        <w:tc>
          <w:tcPr>
            <w:tcW w:w="16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Assets under construction represent construction in progress related to facilities not yet completed or otherwise not placed in service.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June 30, 2025, depreciation expense included in costs of goods sold totaled $10,014 and $9,777, respectively. For the three months ended June 30, 2026 and June 30, 2025, depreciation expense included in selling, general, and administrative expense totaled $4,962 and $4,935,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June 30, 2025, depreciation expense included in costs of goods sold totaled $19,839 and $19,673, respectively. For the six months ended June 30, 2026 and June 30, 2025, depreciation expense included in selling, general, and administrative expense totaled $9,810 and $10,056,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00" w:after="2"/>
        <w:jc w:val="both"/>
        <w:rPr/>
      </w:pPr>
      <w:hyperlink w:anchor="i4eefff2545794af2a9cb746809773a65_7">
        <w:r>
          <w:rPr>
            <w:rStyle w:val="InternetLink"/>
            <w:rFonts w:ascii="Times New Roman;serif" w:hAnsi="Times New Roman;serif"/>
            <w:b w:val="false"/>
            <w:color w:val="0000FF"/>
            <w:sz w:val="20"/>
            <w:u w:val="single"/>
          </w:rPr>
          <w:t>Table of Contents</w:t>
        </w:r>
      </w:hyperlink>
    </w:p>
    <w:tbl>
      <w:tblPr>
        <w:tblW w:w="6374" w:type="dxa"/>
        <w:jc w:val="left"/>
        <w:tblInd w:w="0" w:type="dxa"/>
        <w:tblLayout w:type="fixed"/>
        <w:tblCellMar>
          <w:top w:w="28" w:type="dxa"/>
          <w:left w:w="28" w:type="dxa"/>
          <w:bottom w:w="28" w:type="dxa"/>
          <w:right w:w="28" w:type="dxa"/>
        </w:tblCellMar>
      </w:tblPr>
      <w:tblGrid>
        <w:gridCol w:w="2038"/>
        <w:gridCol w:w="1793"/>
        <w:gridCol w:w="2543"/>
      </w:tblGrid>
      <w:tr>
        <w:trPr/>
        <w:tc>
          <w:tcPr>
            <w:tcW w:w="203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88" w:before="200" w:after="2"/>
              <w:jc w:val="center"/>
              <w:rPr>
                <w:rFonts w:ascii="Times New Roman;serif" w:hAnsi="Times New Roman;serif"/>
                <w:b/>
                <w:color w:val="000000"/>
                <w:sz w:val="20"/>
              </w:rPr>
            </w:pPr>
            <w:r>
              <w:rPr>
                <w:rFonts w:ascii="Times New Roman;serif" w:hAnsi="Times New Roman;serif"/>
                <w:b/>
                <w:color w:val="000000"/>
                <w:sz w:val="20"/>
              </w:rPr>
              <w:t>VERANO HOLDINGS CORP.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Interim Condensed Consolidated Financial Statements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in Thousands except shares and per share amounts)</w:t>
            </w:r>
          </w:p>
        </w:tc>
      </w:tr>
      <w:tr>
        <w:trPr/>
        <w:tc>
          <w:tcPr>
            <w:tcW w:w="6374"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63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4.INTANGIBLE ASSETS AND GOODWILL</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Intangible assets are recorded at cost less accumulated amortization and impairment losses, if any. Intangible assets acquired in a business combination are measured at fair value as of the acquisition date. Amortization of definite life intangible assets is provided on a straight-line basis over their estimated useful lives. The estimated useful lives, residual values, and amortization methods for intangible assets are reviewed by the Company at each reporting period, and any changes in estimates are accounted for prospectively.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intangible assets consisted of the following:</w:t>
      </w:r>
    </w:p>
    <w:tbl>
      <w:tblPr>
        <w:tblW w:w="8269" w:type="dxa"/>
        <w:jc w:val="left"/>
        <w:tblInd w:w="0" w:type="dxa"/>
        <w:tblLayout w:type="fixed"/>
        <w:tblCellMar>
          <w:top w:w="28" w:type="dxa"/>
          <w:left w:w="28" w:type="dxa"/>
          <w:bottom w:w="28" w:type="dxa"/>
          <w:right w:w="28" w:type="dxa"/>
        </w:tblCellMar>
      </w:tblPr>
      <w:tblGrid>
        <w:gridCol w:w="962"/>
        <w:gridCol w:w="847"/>
        <w:gridCol w:w="860"/>
        <w:gridCol w:w="211"/>
        <w:gridCol w:w="826"/>
        <w:gridCol w:w="109"/>
        <w:gridCol w:w="109"/>
        <w:gridCol w:w="109"/>
        <w:gridCol w:w="109"/>
        <w:gridCol w:w="237"/>
        <w:gridCol w:w="811"/>
        <w:gridCol w:w="123"/>
        <w:gridCol w:w="109"/>
        <w:gridCol w:w="109"/>
        <w:gridCol w:w="109"/>
        <w:gridCol w:w="250"/>
        <w:gridCol w:w="731"/>
        <w:gridCol w:w="130"/>
        <w:gridCol w:w="109"/>
        <w:gridCol w:w="109"/>
        <w:gridCol w:w="109"/>
        <w:gridCol w:w="211"/>
        <w:gridCol w:w="826"/>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Licenses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Tradenames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Cost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Balance as of January 1, 2026</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794,183 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45,108 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844,837 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794,183 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45,108 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5,546 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844,837 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Accumulated Amortization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Balance as of January 1, 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239,895 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21,369 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4,483 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265,747 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2,255 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266,448 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23,624 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4,645 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294,717 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Net Book Value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Balance as of January 1, 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554,288 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23,739 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579,090 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527,735 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21,484 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550,120 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outlines the estimated annual amortization expense related to intangible assets as of June 30, 2026:</w:t>
      </w:r>
    </w:p>
    <w:tbl>
      <w:tblPr>
        <w:tblW w:w="4930" w:type="dxa"/>
        <w:jc w:val="left"/>
        <w:tblInd w:w="0" w:type="dxa"/>
        <w:tblLayout w:type="fixed"/>
        <w:tblCellMar>
          <w:top w:w="28" w:type="dxa"/>
          <w:left w:w="28" w:type="dxa"/>
          <w:bottom w:w="28" w:type="dxa"/>
          <w:right w:w="28" w:type="dxa"/>
        </w:tblCellMar>
      </w:tblPr>
      <w:tblGrid>
        <w:gridCol w:w="873"/>
        <w:gridCol w:w="769"/>
        <w:gridCol w:w="772"/>
        <w:gridCol w:w="109"/>
        <w:gridCol w:w="109"/>
        <w:gridCol w:w="109"/>
        <w:gridCol w:w="386"/>
        <w:gridCol w:w="1518"/>
        <w:gridCol w:w="285"/>
      </w:tblGrid>
      <w:tr>
        <w:trPr/>
        <w:tc>
          <w:tcPr>
            <w:tcW w:w="87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Estimated Amortization</w:t>
            </w:r>
          </w:p>
        </w:tc>
      </w:tr>
      <w:tr>
        <w:trPr/>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28,924 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57,875 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57,862 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57,859 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57,859 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289,741 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550,120 </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by reportable segment, for the six months ended June 30, 2026 were as follows:</w:t>
      </w:r>
    </w:p>
    <w:tbl>
      <w:tblPr>
        <w:tblW w:w="10205" w:type="dxa"/>
        <w:jc w:val="left"/>
        <w:tblInd w:w="0" w:type="dxa"/>
        <w:tblLayout w:type="fixed"/>
        <w:tblCellMar>
          <w:top w:w="28" w:type="dxa"/>
          <w:left w:w="28" w:type="dxa"/>
          <w:bottom w:w="28" w:type="dxa"/>
          <w:right w:w="28" w:type="dxa"/>
        </w:tblCellMar>
      </w:tblPr>
      <w:tblGrid>
        <w:gridCol w:w="391"/>
        <w:gridCol w:w="344"/>
        <w:gridCol w:w="346"/>
        <w:gridCol w:w="255"/>
        <w:gridCol w:w="1003"/>
        <w:gridCol w:w="132"/>
        <w:gridCol w:w="109"/>
        <w:gridCol w:w="109"/>
        <w:gridCol w:w="109"/>
        <w:gridCol w:w="327"/>
        <w:gridCol w:w="629"/>
        <w:gridCol w:w="170"/>
        <w:gridCol w:w="109"/>
        <w:gridCol w:w="109"/>
        <w:gridCol w:w="109"/>
        <w:gridCol w:w="833"/>
        <w:gridCol w:w="1607"/>
        <w:gridCol w:w="432"/>
        <w:gridCol w:w="109"/>
        <w:gridCol w:w="109"/>
        <w:gridCol w:w="109"/>
        <w:gridCol w:w="331"/>
        <w:gridCol w:w="638"/>
        <w:gridCol w:w="172"/>
        <w:gridCol w:w="109"/>
        <w:gridCol w:w="109"/>
        <w:gridCol w:w="109"/>
        <w:gridCol w:w="227"/>
        <w:gridCol w:w="891"/>
        <w:gridCol w:w="169"/>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January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Adjustments to purchase price allocation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Cultivation</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8,063 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8,063 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Retail</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152,946 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152,946 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161,009 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161,009 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00" w:after="2"/>
        <w:jc w:val="both"/>
        <w:rPr/>
      </w:pPr>
      <w:hyperlink w:anchor="i4eefff2545794af2a9cb746809773a65_7">
        <w:r>
          <w:rPr>
            <w:rStyle w:val="InternetLink"/>
            <w:rFonts w:ascii="Times New Roman;serif" w:hAnsi="Times New Roman;serif"/>
            <w:b w:val="false"/>
            <w:color w:val="0000FF"/>
            <w:sz w:val="20"/>
            <w:u w:val="single"/>
          </w:rPr>
          <w:t>Table of Contents</w:t>
        </w:r>
      </w:hyperlink>
    </w:p>
    <w:tbl>
      <w:tblPr>
        <w:tblW w:w="6374" w:type="dxa"/>
        <w:jc w:val="left"/>
        <w:tblInd w:w="0" w:type="dxa"/>
        <w:tblLayout w:type="fixed"/>
        <w:tblCellMar>
          <w:top w:w="28" w:type="dxa"/>
          <w:left w:w="28" w:type="dxa"/>
          <w:bottom w:w="28" w:type="dxa"/>
          <w:right w:w="28" w:type="dxa"/>
        </w:tblCellMar>
      </w:tblPr>
      <w:tblGrid>
        <w:gridCol w:w="2038"/>
        <w:gridCol w:w="1793"/>
        <w:gridCol w:w="2543"/>
      </w:tblGrid>
      <w:tr>
        <w:trPr/>
        <w:tc>
          <w:tcPr>
            <w:tcW w:w="203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88" w:before="200" w:after="2"/>
              <w:jc w:val="center"/>
              <w:rPr>
                <w:rFonts w:ascii="Times New Roman;serif" w:hAnsi="Times New Roman;serif"/>
                <w:b/>
                <w:color w:val="000000"/>
                <w:sz w:val="20"/>
              </w:rPr>
            </w:pPr>
            <w:r>
              <w:rPr>
                <w:rFonts w:ascii="Times New Roman;serif" w:hAnsi="Times New Roman;serif"/>
                <w:b/>
                <w:color w:val="000000"/>
                <w:sz w:val="20"/>
              </w:rPr>
              <w:t>VERANO HOLDINGS CORP.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Interim Condensed Consolidated Financial Statements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in Thousands except shares and per share amounts)</w:t>
            </w:r>
          </w:p>
        </w:tc>
      </w:tr>
      <w:tr>
        <w:trPr/>
        <w:tc>
          <w:tcPr>
            <w:tcW w:w="6374"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63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5.EARNINGS (LOSSES) PER SHARE</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presents basic earnings (losses) per share. Basic earnings (losses) per share is calculated by dividing the earnings (loss) attributable to stockholders by the weighted average number shares of Common Stock outstanding during the periods presented. Diluted earnings (losses) per share is computed based on the weighted average number of shares of Common Stock outstanding, to the extent dilutive.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computations of earnings (loss) per share on a basic and diluted basis, including reconciliations of the numerators and denominators, for the three and six months ended June 30, 2026 and June 30, 2025 were as follows:</w:t>
      </w:r>
    </w:p>
    <w:tbl>
      <w:tblPr>
        <w:tblW w:w="9740" w:type="dxa"/>
        <w:jc w:val="left"/>
        <w:tblInd w:w="0" w:type="dxa"/>
        <w:tblLayout w:type="fixed"/>
        <w:tblCellMar>
          <w:top w:w="28" w:type="dxa"/>
          <w:left w:w="28" w:type="dxa"/>
          <w:bottom w:w="28" w:type="dxa"/>
          <w:right w:w="28" w:type="dxa"/>
        </w:tblCellMar>
      </w:tblPr>
      <w:tblGrid>
        <w:gridCol w:w="1428"/>
        <w:gridCol w:w="1254"/>
        <w:gridCol w:w="1262"/>
        <w:gridCol w:w="240"/>
        <w:gridCol w:w="841"/>
        <w:gridCol w:w="111"/>
        <w:gridCol w:w="111"/>
        <w:gridCol w:w="111"/>
        <w:gridCol w:w="111"/>
        <w:gridCol w:w="240"/>
        <w:gridCol w:w="841"/>
        <w:gridCol w:w="111"/>
        <w:gridCol w:w="109"/>
        <w:gridCol w:w="109"/>
        <w:gridCol w:w="109"/>
        <w:gridCol w:w="240"/>
        <w:gridCol w:w="841"/>
        <w:gridCol w:w="109"/>
        <w:gridCol w:w="109"/>
        <w:gridCol w:w="109"/>
        <w:gridCol w:w="109"/>
        <w:gridCol w:w="240"/>
        <w:gridCol w:w="841"/>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Numerator</w:t>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attributable to Verano Holdings Corp.</w:t>
            </w:r>
          </w:p>
        </w:tc>
        <w:tc>
          <w:tcPr>
            <w:tcW w:w="24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(13,411)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(19,150)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(30,665)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Denominator</w:t>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Basic</w:t>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73,014,886 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72,073,755 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72,845,021 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71,952,114 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Diluted</w:t>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73,014,886 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72,073,755 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72,845,021 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71,952,114 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per share - basic &amp; diluted</w:t>
            </w:r>
          </w:p>
        </w:tc>
        <w:tc>
          <w:tcPr>
            <w:tcW w:w="24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potentially dilutive securities of approximately 339,225 and 242,383, respectively, were not included in the computation of diluted earnings per share because their effect would have been anti-dilutive. For the three and six months ended June 30, 2025, outstanding RSUs of approximately 1,067,199 were anti-dilutive under the treasury stock method and were excluded from the computation of diluted earnings (loss) per share. These awards may be dilutive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00" w:after="2"/>
        <w:jc w:val="both"/>
        <w:rPr/>
      </w:pPr>
      <w:hyperlink w:anchor="i4eefff2545794af2a9cb746809773a65_7">
        <w:r>
          <w:rPr>
            <w:rStyle w:val="InternetLink"/>
            <w:rFonts w:ascii="Times New Roman;serif" w:hAnsi="Times New Roman;serif"/>
            <w:b w:val="false"/>
            <w:color w:val="0000FF"/>
            <w:sz w:val="20"/>
            <w:u w:val="single"/>
          </w:rPr>
          <w:t>Table of Contents</w:t>
        </w:r>
      </w:hyperlink>
    </w:p>
    <w:tbl>
      <w:tblPr>
        <w:tblW w:w="6374" w:type="dxa"/>
        <w:jc w:val="left"/>
        <w:tblInd w:w="0" w:type="dxa"/>
        <w:tblLayout w:type="fixed"/>
        <w:tblCellMar>
          <w:top w:w="28" w:type="dxa"/>
          <w:left w:w="28" w:type="dxa"/>
          <w:bottom w:w="28" w:type="dxa"/>
          <w:right w:w="28" w:type="dxa"/>
        </w:tblCellMar>
      </w:tblPr>
      <w:tblGrid>
        <w:gridCol w:w="2038"/>
        <w:gridCol w:w="1793"/>
        <w:gridCol w:w="2543"/>
      </w:tblGrid>
      <w:tr>
        <w:trPr/>
        <w:tc>
          <w:tcPr>
            <w:tcW w:w="203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88" w:before="200" w:after="2"/>
              <w:jc w:val="center"/>
              <w:rPr>
                <w:rFonts w:ascii="Times New Roman;serif" w:hAnsi="Times New Roman;serif"/>
                <w:b/>
                <w:color w:val="000000"/>
                <w:sz w:val="20"/>
              </w:rPr>
            </w:pPr>
            <w:r>
              <w:rPr>
                <w:rFonts w:ascii="Times New Roman;serif" w:hAnsi="Times New Roman;serif"/>
                <w:b/>
                <w:color w:val="000000"/>
                <w:sz w:val="20"/>
              </w:rPr>
              <w:t>VERANO HOLDINGS CORP.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Interim Condensed Consolidated Financial Statements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in Thousands except shares and per share amounts)</w:t>
            </w:r>
          </w:p>
        </w:tc>
      </w:tr>
      <w:tr>
        <w:trPr/>
        <w:tc>
          <w:tcPr>
            <w:tcW w:w="6374"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63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6.TRANSACTIONS</w:t>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Business Combinations</w:t>
      </w:r>
    </w:p>
    <w:p>
      <w:pPr>
        <w:pStyle w:val="TextBody"/>
        <w:bidi w:val="0"/>
        <w:spacing w:lineRule="auto" w:line="288" w:before="240" w:after="283"/>
        <w:jc w:val="both"/>
        <w:rPr/>
      </w:pPr>
      <w:r>
        <w:rPr>
          <w:rFonts w:ascii="Times New Roman;serif" w:hAnsi="Times New Roman;serif"/>
          <w:b w:val="false"/>
          <w:color w:val="000000"/>
          <w:sz w:val="20"/>
        </w:rPr>
        <w:t>The Company has determined that the acquisitions described below are business combinations under ASC Topic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Acquisitions that are determined to be the acquisition of a business are accounted for by applying the acquisition method, whereby the assets acquired, and the liabilities assumed are recorded at their fair values at the date of acquisition with any excess of the aggregate consideration over the fair values of the identifiable net assets allocated to goodwill. Operating results for the companies acquired have been included in these Unaudited Interim Condensed Consolidated Financial Statements from the date of the acquisition. Any goodwill recognized is attributed based on reporting units.</w:t>
      </w:r>
    </w:p>
    <w:p>
      <w:pPr>
        <w:pStyle w:val="TextBody"/>
        <w:bidi w:val="0"/>
        <w:spacing w:lineRule="auto" w:line="288" w:before="240" w:after="2"/>
        <w:ind w:left="0" w:right="0" w:firstLine="720"/>
        <w:jc w:val="left"/>
        <w:rPr>
          <w:rFonts w:ascii="Times New Roman;serif" w:hAnsi="Times New Roman;serif"/>
          <w:b/>
          <w:color w:val="000000"/>
          <w:sz w:val="20"/>
        </w:rPr>
      </w:pPr>
      <w:r>
        <w:rPr>
          <w:rFonts w:ascii="Times New Roman;serif" w:hAnsi="Times New Roman;serif"/>
          <w:b/>
          <w:color w:val="000000"/>
          <w:sz w:val="20"/>
        </w:rPr>
        <w:t>2025 Dispositions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Noah's Ark, LLC</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January 13, 2025, Verano terminated its contracts with Noah's Ark, LLC, an Arkansas limited liability company, and its members. In addition, the Company's subsidiary, Verano El Dorado, LLC, an Arkansas limited liability company, sold real property located at 3213 N. West Avenue, El Dorado, Union County, Arkansas 71730. As a result of such transactions, Verano no longer has any commercial agreements or affiliated operational activity related to Arkansas.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disposition resulted in a gain of $4,739 for the six months ended June 30, 2025 which is classified as a component of Other Income (Expense), net in the Unaudited Interim Condensed Consolidated Statement of Operations.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Other Acquisition Consideration Payable Adjustments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December 28, 2023, the Company became obligated, upon the completion of certain conditions precedent, to issue $1,250 worth of the Company’s formerly authorized Class A subordinate voting shares (the “Subordinate Voting Shares”), in the aggregate, as consideration for the acquisition of assets from Ivy Hall Mount Holly, LLC. During 2025, the Company made total cash payments in the amount of $708 and issued 59,445 Subordinate Voting Shares, representing a value of $625. All Subordinate Voting Shares were exchanged for shares of Common Stock on a one-for-one basis in connection with the Continuance. During the six months ended June 30, 2026, the Company made total cash payments in the amount of $250 related to the purchase price consideration. The Company expects to make additional cash consideration payments of $42, as the final portion of such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00" w:after="2"/>
        <w:jc w:val="both"/>
        <w:rPr/>
      </w:pPr>
      <w:hyperlink w:anchor="i4eefff2545794af2a9cb746809773a65_7">
        <w:r>
          <w:rPr>
            <w:rStyle w:val="InternetLink"/>
            <w:rFonts w:ascii="Times New Roman;serif" w:hAnsi="Times New Roman;serif"/>
            <w:b w:val="false"/>
            <w:color w:val="0000FF"/>
            <w:sz w:val="20"/>
            <w:u w:val="single"/>
          </w:rPr>
          <w:t>Table of Contents</w:t>
        </w:r>
      </w:hyperlink>
    </w:p>
    <w:tbl>
      <w:tblPr>
        <w:tblW w:w="6374" w:type="dxa"/>
        <w:jc w:val="left"/>
        <w:tblInd w:w="0" w:type="dxa"/>
        <w:tblLayout w:type="fixed"/>
        <w:tblCellMar>
          <w:top w:w="28" w:type="dxa"/>
          <w:left w:w="28" w:type="dxa"/>
          <w:bottom w:w="28" w:type="dxa"/>
          <w:right w:w="28" w:type="dxa"/>
        </w:tblCellMar>
      </w:tblPr>
      <w:tblGrid>
        <w:gridCol w:w="2038"/>
        <w:gridCol w:w="1793"/>
        <w:gridCol w:w="2543"/>
      </w:tblGrid>
      <w:tr>
        <w:trPr/>
        <w:tc>
          <w:tcPr>
            <w:tcW w:w="203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88" w:before="200" w:after="2"/>
              <w:jc w:val="center"/>
              <w:rPr>
                <w:rFonts w:ascii="Times New Roman;serif" w:hAnsi="Times New Roman;serif"/>
                <w:b/>
                <w:color w:val="000000"/>
                <w:sz w:val="20"/>
              </w:rPr>
            </w:pPr>
            <w:r>
              <w:rPr>
                <w:rFonts w:ascii="Times New Roman;serif" w:hAnsi="Times New Roman;serif"/>
                <w:b/>
                <w:color w:val="000000"/>
                <w:sz w:val="20"/>
              </w:rPr>
              <w:t>VERANO HOLDINGS CORP.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Interim Condensed Consolidated Financial Statements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in Thousands except shares and per share amounts)</w:t>
            </w:r>
          </w:p>
        </w:tc>
      </w:tr>
      <w:tr>
        <w:trPr/>
        <w:tc>
          <w:tcPr>
            <w:tcW w:w="6374"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63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7.DEBT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debt consisted of the following:</w:t>
      </w:r>
    </w:p>
    <w:tbl>
      <w:tblPr>
        <w:tblW w:w="5611" w:type="dxa"/>
        <w:jc w:val="left"/>
        <w:tblInd w:w="0" w:type="dxa"/>
        <w:tblLayout w:type="fixed"/>
        <w:tblCellMar>
          <w:top w:w="28" w:type="dxa"/>
          <w:left w:w="28" w:type="dxa"/>
          <w:bottom w:w="28" w:type="dxa"/>
          <w:right w:w="28" w:type="dxa"/>
        </w:tblCellMar>
      </w:tblPr>
      <w:tblGrid>
        <w:gridCol w:w="1027"/>
        <w:gridCol w:w="901"/>
        <w:gridCol w:w="906"/>
        <w:gridCol w:w="211"/>
        <w:gridCol w:w="826"/>
        <w:gridCol w:w="109"/>
        <w:gridCol w:w="109"/>
        <w:gridCol w:w="109"/>
        <w:gridCol w:w="109"/>
        <w:gridCol w:w="231"/>
        <w:gridCol w:w="905"/>
        <w:gridCol w:w="168"/>
      </w:tblGrid>
      <w:tr>
        <w:trPr/>
        <w:tc>
          <w:tcPr>
            <w:tcW w:w="102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Credit Facility</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192,375 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240,550 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Revolver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Promissory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Mortgage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114,099 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Vehicle and Equipment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(7,036)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392,612 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399,735 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Less: Current Portion of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7,852 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Long-Term Debt, net</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382,064 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391,883 </w:t>
            </w:r>
          </w:p>
        </w:tc>
        <w:tc>
          <w:tcPr>
            <w:tcW w:w="16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2022 Credit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27, 2022, Verano and certain of its subsidiaries and affiliates from time-to-time party thereto (collectively, the “Borrowers”), entered into a credit agreement (the “2022 Credit Agreement”) with Chicago Atlantic Admin, LLC (“Chicago Atlantic”), as administrative agent for the lenders, and the lenders from time-to-time party thereto (the “Lenders”), pursuant to which the Lenders advanced the Borrowers a $350,000 senior secured term loan, and which also provided the Borrowers with the right, subject to conditions, to request an additional incremental term loan of up to $100,000; provided that the Lenders elected to fund such incremental term loan. At funding, all the proceeds of the loans made under the 2022 Credit Agreement were used to repay the amounts owing under the Company's previous senior secured term loan credit facility. In connection with such repayment, such previous credit facility was terminated and is no longer in force or effect.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Beginning in October 2023, the loan required scheduled amortization payments of $350 per month and the remaining principal balance was due in full on October 30,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2022 Credit Agreement also provided the Borrowers with the right to (a) incur up to $120,000 of additional indebtedness from third-party lenders secured by real estate excluded as collateral under the 2022 Credit Agreement, (b) incur additional mortgage financing from third-party lenders secured by real estate acquired after the closing date, and (c) upon the SAFE Banking Act or similar legislation making banking services available to U.S. cannabis companies being passed by the United States Congress, incur up to $50,000 pursuant to a revolving credit facility from third-party lenders that is pari passu or subordinated to the 2022 Credit Agreement obligations, each of which were subject to customary conditions.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obligations under the 2022 Credit Agreement were secured by substantially all of the assets of the Borrowers, excluding vehicles, specified parcels of real estate and other customary exclusions.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2022 Credit Agreement provided for a floating annual interest rate equal to the prime rate then in effect plus 6.50%, which rate could have been increased by 3.00% upon an event of default that is not a material event of default or 6.00% upon a material event of default as provided in the 2022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00" w:after="2"/>
        <w:jc w:val="both"/>
        <w:rPr/>
      </w:pPr>
      <w:hyperlink w:anchor="i4eefff2545794af2a9cb746809773a65_7">
        <w:r>
          <w:rPr>
            <w:rStyle w:val="InternetLink"/>
            <w:rFonts w:ascii="Times New Roman;serif" w:hAnsi="Times New Roman;serif"/>
            <w:b w:val="false"/>
            <w:color w:val="0000FF"/>
            <w:sz w:val="20"/>
            <w:u w:val="single"/>
          </w:rPr>
          <w:t>Table of Contents</w:t>
        </w:r>
      </w:hyperlink>
    </w:p>
    <w:tbl>
      <w:tblPr>
        <w:tblW w:w="6374" w:type="dxa"/>
        <w:jc w:val="left"/>
        <w:tblInd w:w="0" w:type="dxa"/>
        <w:tblLayout w:type="fixed"/>
        <w:tblCellMar>
          <w:top w:w="28" w:type="dxa"/>
          <w:left w:w="28" w:type="dxa"/>
          <w:bottom w:w="28" w:type="dxa"/>
          <w:right w:w="28" w:type="dxa"/>
        </w:tblCellMar>
      </w:tblPr>
      <w:tblGrid>
        <w:gridCol w:w="2038"/>
        <w:gridCol w:w="1793"/>
        <w:gridCol w:w="2543"/>
      </w:tblGrid>
      <w:tr>
        <w:trPr/>
        <w:tc>
          <w:tcPr>
            <w:tcW w:w="203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88" w:before="200" w:after="2"/>
              <w:jc w:val="center"/>
              <w:rPr>
                <w:rFonts w:ascii="Times New Roman;serif" w:hAnsi="Times New Roman;serif"/>
                <w:b/>
                <w:color w:val="000000"/>
                <w:sz w:val="20"/>
              </w:rPr>
            </w:pPr>
            <w:r>
              <w:rPr>
                <w:rFonts w:ascii="Times New Roman;serif" w:hAnsi="Times New Roman;serif"/>
                <w:b/>
                <w:color w:val="000000"/>
                <w:sz w:val="20"/>
              </w:rPr>
              <w:t>VERANO HOLDINGS CORP.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Interim Condensed Consolidated Financial Statements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in Thousands except shares and per share amounts)</w:t>
            </w:r>
          </w:p>
        </w:tc>
      </w:tr>
      <w:tr>
        <w:trPr/>
        <w:tc>
          <w:tcPr>
            <w:tcW w:w="6374"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63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ind w:left="0" w:right="0" w:hanging="360"/>
              <w:jc w:val="both"/>
              <w:rPr/>
            </w:pPr>
            <w:r>
              <w:rPr>
                <w:rFonts w:ascii="Times New Roman;serif" w:hAnsi="Times New Roman;serif"/>
                <w:b/>
                <w:color w:val="000000"/>
                <w:sz w:val="20"/>
              </w:rPr>
              <w:t xml:space="preserve">7.DEBT </w:t>
            </w:r>
            <w:r>
              <w:rPr>
                <w:rFonts w:ascii="Times New Roman;serif" w:hAnsi="Times New Roman;serif"/>
                <w:b w:val="false"/>
                <w:i/>
                <w:color w:val="000000"/>
                <w:sz w:val="20"/>
              </w:rPr>
              <w:t>(Continued)</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At any time, the Company was able to voluntarily prepay up to $100,000 of the principal balance, subject to a one-time $1,000 prepayment premium upon the first prepayment, and was able to prepay the remaining outstanding principal balance for a prepayment premium at varying rates based on the timing of any subsequent prepayments. The Borrowers were not able to voluntarily prepay more than $100,000 of the principal balance without prepaying the entire outstanding principal balance of the loan.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April 30, 2024, the Company made a Permitted Partial Optional Prepayment (as defined in the 2022 Credit Agreement) in the amount of $50,000 pursuant to the 2022 Credit Agreement and paid a $1,000 prepayment premium in connection therewith. In connection with such Permitted Partial Optional Prepayment, Chicago Atlantic and certain Lenders agreed to (a) release certain Borrowers from their obligations under, and as parties to, the 2022 Credit Agreement and related agreements and (b) release all liens over such Borrowers’ property, including real estate, held by Chicago Atlantic for the benefit of the Lenders, in each case, pursuant to a limited consent and waiver, dated as of April 29, 2024, by and among Borrowers, certain of the lenders party thereto and Chicago Atlantic.</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September 30, 2025, the Company made an additional Permitted Partial Optional Prepayment (as defined in the 2022 Credit Agreement) in the amount of $50,000 pursuant to the 2022 Credit Agreement, without any penalty or premium.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March 11, 2026, the Company repaid all amounts owing under the 2022 Credit Agreement together with a prepayment premium of $4,345. As a result of such payment, the 2022 Credit Agreement was terminated and is no longer in force or effect.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Revolver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September 30, 2025, the Company entered into a credit agreement (as amended, the “Revolver”), by and among the Company, as a guarantor, certain subsidiaries of the Company from time-to-time party thereto as borrowers (the “Real Estate Subsidiaries”), the lenders from time-to-time party thereto, and Chicago Atlantic, as administrative agent for the lenders.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Revolver initially provided for a $75,000 revolving loan facility, $50,000 of which was drawn on September 30, 2025 and used to prepay, without any penalty or premium, $50,000 of outstanding obligations due under the 2022 Credit Agreement. Amounts drawn under the Revolver do not require amortization payments. The Revolver provides for a floating annual interest rate on amounts drawn equal to one-month Term SOFR (subject to a minimum 4% SOFR floor) plus 6%, which rate may be increased by 3% upon an event of default or 6% upon a material event of default as provided in the Revolver. The Company incurred debt issuance costs of $2,209 in connection with the establishment of the Revolver.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Revolver may be drawn in $2,500 increments upon ten business days prior notice and any outstanding amount under the Revolver may be voluntarily prepaid in $2,500 increments upon five business days prior notice without any penalty or premium, unless such prepayment occurs within six months of the applicable advance, in which case, such prepayment is subject to a six-month interest make whole. Any amounts prepaid may be redrawn subject to the same requirements set forth above. The Revolver was initially subject to a borrowing base which required the outstanding principal balance under the Revolver to be equal to or less than 60% of the appraised value, net of certain indebtedness, of the owned real estate serving as collateral for the Revolver from time to time.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obligations under the Revolver are secured by substantially all of the assets of the Real Estate Subsidiaries, which primarily consists of owned real estate, and are guaranteed by the Company on an unsecured basis. Additionally, the Revolver allows for the proportionate release of certain Real Estate Subsidiaries upon request of the Company so long as the outstanding principal balance under the Revolver does not exceed 60% of the appraised value, net of certain indebtedness, of the owned real estate serving as collateral after giving effect to such release.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00" w:after="2"/>
        <w:jc w:val="both"/>
        <w:rPr/>
      </w:pPr>
      <w:hyperlink w:anchor="i4eefff2545794af2a9cb746809773a65_7">
        <w:r>
          <w:rPr>
            <w:rStyle w:val="InternetLink"/>
            <w:rFonts w:ascii="Times New Roman;serif" w:hAnsi="Times New Roman;serif"/>
            <w:b w:val="false"/>
            <w:color w:val="0000FF"/>
            <w:sz w:val="20"/>
            <w:u w:val="single"/>
          </w:rPr>
          <w:t>Table of Contents</w:t>
        </w:r>
      </w:hyperlink>
    </w:p>
    <w:tbl>
      <w:tblPr>
        <w:tblW w:w="6374" w:type="dxa"/>
        <w:jc w:val="left"/>
        <w:tblInd w:w="0" w:type="dxa"/>
        <w:tblLayout w:type="fixed"/>
        <w:tblCellMar>
          <w:top w:w="28" w:type="dxa"/>
          <w:left w:w="28" w:type="dxa"/>
          <w:bottom w:w="28" w:type="dxa"/>
          <w:right w:w="28" w:type="dxa"/>
        </w:tblCellMar>
      </w:tblPr>
      <w:tblGrid>
        <w:gridCol w:w="2038"/>
        <w:gridCol w:w="1793"/>
        <w:gridCol w:w="2543"/>
      </w:tblGrid>
      <w:tr>
        <w:trPr/>
        <w:tc>
          <w:tcPr>
            <w:tcW w:w="203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88" w:before="200" w:after="2"/>
              <w:jc w:val="center"/>
              <w:rPr>
                <w:rFonts w:ascii="Times New Roman;serif" w:hAnsi="Times New Roman;serif"/>
                <w:b/>
                <w:color w:val="000000"/>
                <w:sz w:val="20"/>
              </w:rPr>
            </w:pPr>
            <w:r>
              <w:rPr>
                <w:rFonts w:ascii="Times New Roman;serif" w:hAnsi="Times New Roman;serif"/>
                <w:b/>
                <w:color w:val="000000"/>
                <w:sz w:val="20"/>
              </w:rPr>
              <w:t>VERANO HOLDINGS CORP.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Interim Condensed Consolidated Financial Statements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in Thousands except shares and per share amounts)</w:t>
            </w:r>
          </w:p>
        </w:tc>
      </w:tr>
      <w:tr>
        <w:trPr/>
        <w:tc>
          <w:tcPr>
            <w:tcW w:w="6374"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63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ind w:left="0" w:right="0" w:hanging="360"/>
              <w:jc w:val="both"/>
              <w:rPr/>
            </w:pPr>
            <w:r>
              <w:rPr>
                <w:rFonts w:ascii="Times New Roman;serif" w:hAnsi="Times New Roman;serif"/>
                <w:b/>
                <w:color w:val="000000"/>
                <w:sz w:val="20"/>
              </w:rPr>
              <w:t xml:space="preserve">7.DEBT </w:t>
            </w:r>
            <w:r>
              <w:rPr>
                <w:rFonts w:ascii="Times New Roman;serif" w:hAnsi="Times New Roman;serif"/>
                <w:b w:val="false"/>
                <w:i/>
                <w:color w:val="000000"/>
                <w:sz w:val="20"/>
              </w:rPr>
              <w:t>(Continued)</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Revolver includes customary representations, warranties, covenants and customary events of default, including, without limitation, payment defaults, breaches of representations and warranties, covenant defaults, cross-defaults to material indebtedness, and events of bankruptcy and insolvency. The Revolver also includes customary covenants, including, without limitation, limiting the Real Estate Subsidiaries’ ability to incur additional indebtedness, make guarantees and grant liens that are otherwise not permitted and enter into or consummate acquisitions or dispositions that are not otherwise permitted, among others. As of June 30, 2026, the Company was in compliance with such covenants.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January 12, 2026, the Company entered into a First Amendment to Credit Agreement and Omnibus First Amendment to Credit Documents (the “First Amendment”), to amend the Revolver. The First Amendment increased the lending commitment of the Revolver from $75,000 to $100,000 and amended the date on which all outstanding amounts are due in full from September 29, 2028 to February 28, 2029. Additionally, the First Amendment amended the borrowing base for the Revolver to an advance rate of up to 80%, rather than 60%, of the appraised value, net of certain indebtedness, of the owned real estate serving as collateral for the Revolver. The First Amendment also includes certain other immaterial updates to the Revolver. No additional collateral was pledged to secure the Revolver in connection with the First Amendment. On March 11, 2026, the Company drew $50,000 under the Revolver, bringing the total amount drawn under the Revolver to $100,000, which was used to repay amounts owing under the 2022 Credit Agreement.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2026 Credit Agreement</w:t>
      </w:r>
    </w:p>
    <w:p>
      <w:pPr>
        <w:pStyle w:val="TextBody"/>
        <w:bidi w:val="0"/>
        <w:spacing w:lineRule="auto" w:line="288" w:before="240" w:after="2"/>
        <w:jc w:val="both"/>
        <w:rPr>
          <w:rFonts w:ascii="Times New Roman;serif" w:hAnsi="Times New Roman;serif"/>
          <w:b w:val="false"/>
          <w:color w:val="000000"/>
          <w:sz w:val="20"/>
        </w:rPr>
      </w:pPr>
      <w:r>
        <w:rPr>
          <w:rFonts w:ascii="Times New Roman;serif" w:hAnsi="Times New Roman;serif"/>
          <w:b w:val="false"/>
          <w:color w:val="000000"/>
          <w:sz w:val="20"/>
        </w:rPr>
        <w:t>On March 11, 2026, Verano and certain of its subsidiaries and affiliates from time-to-time party thereto (collectively, the “2026 Borrowers”), entered into a credit agreement (the “2026 Credit Agreement”) with Needham Bank (“Needham”), as collateral agent and administrative agent for the lenders, Chicago Atlantic Financial Services, LLC, as co-administrative agent for the lenders, and the lenders from time-to-time party thereto (the “2026 Lenders”), pursuant to which the 2026 Lenders advanced the 2026 Borrowers a $195,000 senior secured term loan, all of which was used to repay the amounts owing under the 2022 Credit Agreement. The Company is required to make scheduled amortization payments of $875 per month and the remaining principal balance is due in full on March 11, 2029; provided that the maturity date may be extended to March 11, 2030 upon the election of the Company, the payment of 1.5% of the then outstanding principal balance by the Company, and the consent of the 2026 Lenders. The 2026 Credit Agreement may be prepaid in part (in increments of $5,000 and in an amount not less than $10,000) or in full at any time, subject to a 1.5% prepayment premium during the first two years of the 2026 Credit Agreement and 0% thereafter; provided, that if the maturity date is extended to March 11, 2030, the prepayment premium will be 1.5% in all cases.</w:t>
      </w:r>
    </w:p>
    <w:p>
      <w:pPr>
        <w:pStyle w:val="TextBody"/>
        <w:bidi w:val="0"/>
        <w:spacing w:lineRule="auto" w:line="288" w:before="240" w:after="2"/>
        <w:jc w:val="both"/>
        <w:rPr>
          <w:rFonts w:ascii="Times New Roman;serif" w:hAnsi="Times New Roman;serif"/>
          <w:b w:val="false"/>
          <w:color w:val="000000"/>
          <w:sz w:val="20"/>
        </w:rPr>
      </w:pPr>
      <w:r>
        <w:rPr>
          <w:rFonts w:ascii="Times New Roman;serif" w:hAnsi="Times New Roman;serif"/>
          <w:b w:val="false"/>
          <w:color w:val="000000"/>
          <w:sz w:val="20"/>
        </w:rPr>
        <w:t>The obligations under the 2026 Credit Agreement are secured by substantially all of the assets of the 2026 Borrowers, excluding vehicles, specified parcels of real estate, other customary exclusions, and subject to compliance with the terms of the 2026 Credit Agreement, entities, assets and parcels of real estate acquired after the closing of the 2026 Credit Agreement. The 2026 Credit Agreement provides for a floating annual interest rate equal to one-month Term SOFR (subject to a minimum 4% SOFR floor) plus 5.5%, which rate may be increased by 5% upon an event of default as provided in the 2026 Credit Agreement. The 2026 Credit Agreement includes customary representations and warranties, covenants and customary events of default, including, without limitation, payment defaults, breaches of representations and warranties, covenant defaults, cross-defaults to material indebtedness, and events of bankruptcy and insolvency. Additionally, the 2026 Credit Agreement requires the Borrowers to meet certain financial tests regarding minimum cash balances and a minimum fixed charge coverage ratio. As of June 30, 2026, the Company was in compliance with such covenants.</w:t>
      </w:r>
    </w:p>
    <w:p>
      <w:pPr>
        <w:pStyle w:val="TextBody"/>
        <w:bidi w:val="0"/>
        <w:spacing w:lineRule="auto" w:line="300" w:before="240" w:after="2"/>
        <w:jc w:val="both"/>
        <w:rPr>
          <w:rFonts w:ascii="Times New Roman;serif" w:hAnsi="Times New Roman;serif"/>
          <w:b w:val="false"/>
          <w:color w:val="000000"/>
          <w:sz w:val="20"/>
        </w:rPr>
      </w:pPr>
      <w:r>
        <w:rPr>
          <w:rFonts w:ascii="Times New Roman;serif" w:hAnsi="Times New Roman;serif"/>
          <w:b w:val="false"/>
          <w:color w:val="000000"/>
          <w:sz w:val="20"/>
        </w:rPr>
        <w:t>George Archos, the Chairman, Chief Executive Officer and President of the Company, funded, through an affiliated entity, $10,000 of the amount provided by a 2026 Lender. As a result of this participation, Mr. Archos will receive his pro rata share of all interest and principal payments made by the Company to such 2026 Lender under the 2026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200" w:after="2"/>
        <w:jc w:val="both"/>
        <w:rPr/>
      </w:pPr>
      <w:hyperlink w:anchor="i4eefff2545794af2a9cb746809773a65_7">
        <w:r>
          <w:rPr>
            <w:rStyle w:val="InternetLink"/>
            <w:rFonts w:ascii="Times New Roman;serif" w:hAnsi="Times New Roman;serif"/>
            <w:b w:val="false"/>
            <w:color w:val="0000FF"/>
            <w:sz w:val="20"/>
            <w:u w:val="single"/>
          </w:rPr>
          <w:t>Table of Contents</w:t>
        </w:r>
      </w:hyperlink>
    </w:p>
    <w:tbl>
      <w:tblPr>
        <w:tblW w:w="6374" w:type="dxa"/>
        <w:jc w:val="left"/>
        <w:tblInd w:w="0" w:type="dxa"/>
        <w:tblLayout w:type="fixed"/>
        <w:tblCellMar>
          <w:top w:w="28" w:type="dxa"/>
          <w:left w:w="28" w:type="dxa"/>
          <w:bottom w:w="28" w:type="dxa"/>
          <w:right w:w="28" w:type="dxa"/>
        </w:tblCellMar>
      </w:tblPr>
      <w:tblGrid>
        <w:gridCol w:w="2038"/>
        <w:gridCol w:w="1793"/>
        <w:gridCol w:w="2543"/>
      </w:tblGrid>
      <w:tr>
        <w:trPr/>
        <w:tc>
          <w:tcPr>
            <w:tcW w:w="203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88" w:before="200" w:after="2"/>
              <w:jc w:val="center"/>
              <w:rPr>
                <w:rFonts w:ascii="Times New Roman;serif" w:hAnsi="Times New Roman;serif"/>
                <w:b/>
                <w:color w:val="000000"/>
                <w:sz w:val="20"/>
              </w:rPr>
            </w:pPr>
            <w:r>
              <w:rPr>
                <w:rFonts w:ascii="Times New Roman;serif" w:hAnsi="Times New Roman;serif"/>
                <w:b/>
                <w:color w:val="000000"/>
                <w:sz w:val="20"/>
              </w:rPr>
              <w:t>VERANO HOLDINGS CORP.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Interim Condensed Consolidated Financial Statements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in Thousands except shares and per share amounts)</w:t>
            </w:r>
          </w:p>
        </w:tc>
      </w:tr>
      <w:tr>
        <w:trPr/>
        <w:tc>
          <w:tcPr>
            <w:tcW w:w="6374"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63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8.SHARE CAPITAL</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November 3, 2025, the Continuance was completed by the Company filing articles of domestication and articles of incorporation with the Secretary of State of the State of Nevada to continue from the jurisdiction of the Province of British Columbia, Canada, to the jurisdiction of the U.S. State of Nevada. The Continuance was consummated pursuant to a Plan of Arrangement, which was approved by the Company’s stockholders at a special meeting of the stockholders held on October 27, 2025, and a Final Order issued by the Supreme Court of British Columbia, Canada on October 30, 2025. As part of the Continuance, the previously authorized, issued and outstanding Subordinate Voting Shares of the Company were deemed to be exchanged on November 3, 2025 for authorized, issued and outstanding shares of Common Stock, par value $0.001 per share, of the Company on a one-for-one basis. The Company’s Class B proportionate voting shares were no longer authorized, and all special rights and restrictions of the proportionate voting shares were removed from the Company’s governing documents.</w:t>
      </w:r>
    </w:p>
    <w:p>
      <w:pPr>
        <w:pStyle w:val="TextBody"/>
        <w:bidi w:val="0"/>
        <w:spacing w:lineRule="auto" w:line="288" w:before="240" w:after="2"/>
        <w:jc w:val="both"/>
        <w:rPr/>
      </w:pPr>
      <w:r>
        <w:rPr>
          <w:rFonts w:ascii="Times New Roman;serif" w:hAnsi="Times New Roman;serif"/>
          <w:b w:val="false"/>
          <w:color w:val="000000"/>
          <w:sz w:val="20"/>
        </w:rPr>
        <w:t>The Common Stock is classified as equity. Incremental costs directly attributable to the issuance of shares are recognized as a deduction from equity. The proceeds from the exercise of stock options or warrants, together with amounts previously recorded in reserves over the vesting periods, are recorded as share capital. Income tax relating to transaction costs of an equity transaction is accounted for in accordance with ASC 740, </w:t>
      </w:r>
      <w:r>
        <w:rPr>
          <w:rFonts w:ascii="Times New Roman;serif" w:hAnsi="Times New Roman;serif"/>
          <w:b w:val="false"/>
          <w:i/>
          <w:color w:val="000000"/>
          <w:sz w:val="20"/>
        </w:rPr>
        <w:t>Income Taxes.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June 11, 2026, the Company effected the Reverse Stock Split by filing the Certificate of Change with the Secretary of State of the State of Nevada. As of June 10, 2026, the Company had 367,690,781 shares of Common Stock issued prior to the Reverse Stock Split, resulting in the number of issued shares of Common Stock following the Reverse Stock Split being 73,537,970 shares (adjusted for the rounding of fractional shares). In addition, pursuant to the Certificate of Change, a proportionate reduction was made to the Company’s authorized shares of Common Stock such that the number of authorized shares of Common Stock was reduced from 5,000,000,000 to 1,000,000,000. The authorized number of shares of the Preferred Stock and the par value of each class of stock were not adjusted as a result of the Reverse Stock Split. Accordingly, all shares of Common Stock, RSUs, stock options, and per share information presented in the accompanying condensed consolidated financial statements and notes thereto have been retroactively adjusted, where applicable, to reflect the Reverse Stock Split.</w:t>
      </w: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(a)Issued and Outstanding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73,537,970 shares of Common Stock issued and 73,217,970 outstanding and no Preferred Stock issued or outstanding. The Company has the following two classes of stock, with each class having a $0.001 par value:</w:t>
      </w: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(i)Common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stockholders of Common Stock are entitled to receive dividends issued by the Company and one vote per share at stockholder meetings of the Company. All Common Stock are ranked equally regarding the Company’s residual assets. The Company is authorized to issue 1,000,000,000 shares of Common Stock.</w:t>
      </w: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(ii)Preferred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currently does not have any Preferred Stock issued or outstanding. Our board of directors (the “Board”) may, without further action by our stockholders, provide, out of the authorized but undesignated and unissued shares of Preferred Stock, for one or more series of Preferred Stock and, with respect to each such series, fix the number of shares constituting such series and the designation of such series, the voting powers (if any) of the shares of such series, and the powers, preferences and relative, participating, optional or other rights, if any, and any qualifications, limitations or restrictions thereof, of the shares of such series, any or all of which may be greater than the rights of the Common Stock. The Company is authorized to issue 1,000,000,000 shares of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00" w:after="2"/>
        <w:jc w:val="both"/>
        <w:rPr/>
      </w:pPr>
      <w:hyperlink w:anchor="i4eefff2545794af2a9cb746809773a65_7">
        <w:r>
          <w:rPr>
            <w:rStyle w:val="InternetLink"/>
            <w:rFonts w:ascii="Times New Roman;serif" w:hAnsi="Times New Roman;serif"/>
            <w:b w:val="false"/>
            <w:color w:val="0000FF"/>
            <w:sz w:val="20"/>
            <w:u w:val="single"/>
          </w:rPr>
          <w:t>Table of Contents</w:t>
        </w:r>
      </w:hyperlink>
    </w:p>
    <w:tbl>
      <w:tblPr>
        <w:tblW w:w="6374" w:type="dxa"/>
        <w:jc w:val="left"/>
        <w:tblInd w:w="0" w:type="dxa"/>
        <w:tblLayout w:type="fixed"/>
        <w:tblCellMar>
          <w:top w:w="28" w:type="dxa"/>
          <w:left w:w="28" w:type="dxa"/>
          <w:bottom w:w="28" w:type="dxa"/>
          <w:right w:w="28" w:type="dxa"/>
        </w:tblCellMar>
      </w:tblPr>
      <w:tblGrid>
        <w:gridCol w:w="2038"/>
        <w:gridCol w:w="1793"/>
        <w:gridCol w:w="2543"/>
      </w:tblGrid>
      <w:tr>
        <w:trPr/>
        <w:tc>
          <w:tcPr>
            <w:tcW w:w="203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88" w:before="200" w:after="2"/>
              <w:jc w:val="center"/>
              <w:rPr>
                <w:rFonts w:ascii="Times New Roman;serif" w:hAnsi="Times New Roman;serif"/>
                <w:b/>
                <w:color w:val="000000"/>
                <w:sz w:val="20"/>
              </w:rPr>
            </w:pPr>
            <w:r>
              <w:rPr>
                <w:rFonts w:ascii="Times New Roman;serif" w:hAnsi="Times New Roman;serif"/>
                <w:b/>
                <w:color w:val="000000"/>
                <w:sz w:val="20"/>
              </w:rPr>
              <w:t>VERANO HOLDINGS CORP.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Interim Condensed Consolidated Financial Statements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in Thousands except shares and per share amounts)</w:t>
            </w:r>
          </w:p>
        </w:tc>
      </w:tr>
      <w:tr>
        <w:trPr/>
        <w:tc>
          <w:tcPr>
            <w:tcW w:w="6374"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63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ind w:left="0" w:right="0" w:hanging="360"/>
              <w:jc w:val="both"/>
              <w:rPr/>
            </w:pPr>
            <w:r>
              <w:rPr>
                <w:rFonts w:ascii="Times New Roman;serif" w:hAnsi="Times New Roman;serif"/>
                <w:b/>
                <w:color w:val="000000"/>
                <w:sz w:val="20"/>
              </w:rPr>
              <w:t>8.SHARE CAPITAL</w:t>
            </w:r>
            <w:r>
              <w:rPr>
                <w:color w:val="000000"/>
              </w:rPr>
              <w:t xml:space="preserve"> </w:t>
            </w:r>
            <w:r>
              <w:rPr>
                <w:rFonts w:ascii="Times New Roman;serif" w:hAnsi="Times New Roman;serif"/>
                <w:b w:val="false"/>
                <w:i/>
                <w:color w:val="000000"/>
                <w:sz w:val="20"/>
              </w:rPr>
              <w:t>(Continued)</w:t>
            </w:r>
          </w:p>
        </w:tc>
      </w:tr>
    </w:tbl>
    <w:p>
      <w:pPr>
        <w:pStyle w:val="TextBody"/>
        <w:bidi w:val="0"/>
        <w:spacing w:before="200" w:after="283"/>
        <w:jc w:val="both"/>
        <w:rPr/>
      </w:pPr>
      <w:r>
        <w:rPr/>
      </w: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(b)Incentive Based Compensation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February 2021, the Company established the Verano Holdings Corp. Stock and Incentive Plan (the “Plan”), which provides for stock-based remuneration for its eligible directors, officers, employees, consultants, and advisors. The maximum number of RSUs, options and other stock-based awards that may be issued under the Plan cannot exceed 10% of the Company’s then issued and outstanding share capital. In addition, in March 2024, the Company adopted the Long-Term Cash Incentive Plan, which provides for cash-based remuneration to eligible service providers of the Company. All goods and services received in exchange for the grant of any stock-based or cash-based awards are measured at their fair value. Equity-settled stock-based payments under stock-based payment plans are ultimately recognized as an expense in profit or loss with a corresponding credit to equity.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Continuance, each outstanding option to purchase Subordinate Voting Shares was deemed to be adjusted to become one outstanding option to purchase an equal number of shares of Common Stock at the same exercise price per share and otherwise on the same terms and conditions under the Plan and applicable award agreement; and each outstanding RSU to receive Subordinate Voting Shares was deemed to be adjusted to become one outstanding RSU to receive an equal number of shares of Common Stock with the same terms and conditions under the Plan and applicable award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recognizes compensation expense on a straight-line basis over the requisite service period of the award. Estimates are subsequently revised if there is any indication that the number of shares or amount of cash expected to vest differs from the previous estimate. Any cumulative adjustment prior to vesting is recognized in the current period with no adjustment to prior periods for expense previously recognized.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Option and RSU grants generally vest in installments over 12 to 36 months and options typically have a life of ten years.</w:t>
      </w:r>
    </w:p>
    <w:p>
      <w:pPr>
        <w:pStyle w:val="TextBody"/>
        <w:bidi w:val="0"/>
        <w:spacing w:lineRule="auto" w:line="288" w:before="240" w:after="2"/>
        <w:jc w:val="both"/>
        <w:rPr>
          <w:rFonts w:ascii="Times New Roman;serif" w:hAnsi="Times New Roman;serif"/>
          <w:b w:val="false"/>
          <w:i/>
          <w:color w:val="000000"/>
          <w:sz w:val="20"/>
        </w:rPr>
      </w:pPr>
      <w:r>
        <w:rPr>
          <w:rFonts w:ascii="Times New Roman;serif" w:hAnsi="Times New Roman;serif"/>
          <w:b w:val="false"/>
          <w:i/>
          <w:color w:val="000000"/>
          <w:sz w:val="20"/>
        </w:rPr>
        <w:t>Options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Option activity is summarized as follows: The Company had 4,714 fully vested and exercisable options, entitling the holder thereof to one Common Stock per each option upon exercise, with a weighted average exercise price of $105.50 and a weighted average remaining contractual life of 4.52 years as of June 30, 2026.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Reverse Stock Split, all outstanding stock options were adjusted proportionately, with option amounts rounded down and award prices rounded up. Due to the rounding of fractional shares, certain options were removed from outstanding awards. No incremental compensation cost was recognized in connection with the elimination of these options, as the effect was solely attributable to the mechanical application of the Reverse Stock Split and rounding. No fully vested options, entitling the holder thereof to one Common Stock per each option upon exercise, were cancelled during the six months ended June 30, 2026. No options were granted or forfeited during the six months ended June 30, 2026. As of June 30, 2026 and December 31, 2025, there were no in-the-money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200" w:after="2"/>
        <w:jc w:val="both"/>
        <w:rPr/>
      </w:pPr>
      <w:hyperlink w:anchor="i4eefff2545794af2a9cb746809773a65_7">
        <w:r>
          <w:rPr>
            <w:rStyle w:val="InternetLink"/>
            <w:rFonts w:ascii="Times New Roman;serif" w:hAnsi="Times New Roman;serif"/>
            <w:b w:val="false"/>
            <w:color w:val="0000FF"/>
            <w:sz w:val="20"/>
            <w:u w:val="single"/>
          </w:rPr>
          <w:t>Table of Contents</w:t>
        </w:r>
      </w:hyperlink>
    </w:p>
    <w:tbl>
      <w:tblPr>
        <w:tblW w:w="6374" w:type="dxa"/>
        <w:jc w:val="left"/>
        <w:tblInd w:w="0" w:type="dxa"/>
        <w:tblLayout w:type="fixed"/>
        <w:tblCellMar>
          <w:top w:w="28" w:type="dxa"/>
          <w:left w:w="28" w:type="dxa"/>
          <w:bottom w:w="28" w:type="dxa"/>
          <w:right w:w="28" w:type="dxa"/>
        </w:tblCellMar>
      </w:tblPr>
      <w:tblGrid>
        <w:gridCol w:w="2038"/>
        <w:gridCol w:w="1793"/>
        <w:gridCol w:w="2543"/>
      </w:tblGrid>
      <w:tr>
        <w:trPr/>
        <w:tc>
          <w:tcPr>
            <w:tcW w:w="203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88" w:before="200" w:after="2"/>
              <w:jc w:val="center"/>
              <w:rPr>
                <w:rFonts w:ascii="Times New Roman;serif" w:hAnsi="Times New Roman;serif"/>
                <w:b/>
                <w:color w:val="000000"/>
                <w:sz w:val="20"/>
              </w:rPr>
            </w:pPr>
            <w:r>
              <w:rPr>
                <w:rFonts w:ascii="Times New Roman;serif" w:hAnsi="Times New Roman;serif"/>
                <w:b/>
                <w:color w:val="000000"/>
                <w:sz w:val="20"/>
              </w:rPr>
              <w:t>VERANO HOLDINGS CORP.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Interim Condensed Consolidated Financial Statements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in Thousands except shares and per share amounts)</w:t>
            </w:r>
          </w:p>
        </w:tc>
      </w:tr>
      <w:tr>
        <w:trPr/>
        <w:tc>
          <w:tcPr>
            <w:tcW w:w="6374"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63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ind w:left="0" w:right="0" w:hanging="360"/>
              <w:jc w:val="both"/>
              <w:rPr/>
            </w:pPr>
            <w:r>
              <w:rPr>
                <w:rFonts w:ascii="Times New Roman;serif" w:hAnsi="Times New Roman;serif"/>
                <w:b/>
                <w:color w:val="000000"/>
                <w:sz w:val="20"/>
              </w:rPr>
              <w:t>8.SHARE CAPITAL</w:t>
            </w:r>
            <w:r>
              <w:rPr>
                <w:color w:val="000000"/>
              </w:rPr>
              <w:t xml:space="preserve"> </w:t>
            </w:r>
            <w:r>
              <w:rPr>
                <w:rFonts w:ascii="Times New Roman;serif" w:hAnsi="Times New Roman;serif"/>
                <w:b w:val="false"/>
                <w:i/>
                <w:color w:val="000000"/>
                <w:sz w:val="20"/>
              </w:rPr>
              <w:t>(Continued)</w:t>
            </w:r>
          </w:p>
        </w:tc>
      </w:tr>
    </w:tbl>
    <w:p>
      <w:pPr>
        <w:pStyle w:val="TextBody"/>
        <w:bidi w:val="0"/>
        <w:spacing w:before="200" w:after="283"/>
        <w:jc w:val="both"/>
        <w:rPr/>
      </w:pPr>
      <w:r>
        <w:rPr/>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RSUs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Reverse Stock Split, all outstanding RSUs were adjusted proportionately and rounded down. The following table summarizes the number of unvested RSU awards as of June 30, 2026 and December 31, 2025 and the changes during the six months ended June 30, 2026:</w:t>
      </w:r>
    </w:p>
    <w:tbl>
      <w:tblPr>
        <w:tblW w:w="8485" w:type="dxa"/>
        <w:jc w:val="left"/>
        <w:tblInd w:w="0" w:type="dxa"/>
        <w:tblLayout w:type="fixed"/>
        <w:tblCellMar>
          <w:top w:w="28" w:type="dxa"/>
          <w:left w:w="28" w:type="dxa"/>
          <w:bottom w:w="28" w:type="dxa"/>
          <w:right w:w="28" w:type="dxa"/>
        </w:tblCellMar>
      </w:tblPr>
      <w:tblGrid>
        <w:gridCol w:w="1156"/>
        <w:gridCol w:w="1016"/>
        <w:gridCol w:w="1022"/>
        <w:gridCol w:w="539"/>
        <w:gridCol w:w="539"/>
        <w:gridCol w:w="541"/>
        <w:gridCol w:w="109"/>
        <w:gridCol w:w="109"/>
        <w:gridCol w:w="109"/>
        <w:gridCol w:w="978"/>
        <w:gridCol w:w="978"/>
        <w:gridCol w:w="1389"/>
      </w:tblGrid>
      <w:tr>
        <w:trPr/>
        <w:tc>
          <w:tcPr>
            <w:tcW w:w="115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Weighted Avg. Grant Date Fair Value</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Unvested RSUs at December 31, 2025</w:t>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561,494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1,881,125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30,920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1,234,711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Unvested RSUs at June 30, 2026</w:t>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1,176,988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stock-based compensation expense for the three and six months ended June 30, 2026 and 2025 were as follows:</w:t>
      </w:r>
    </w:p>
    <w:tbl>
      <w:tblPr>
        <w:tblW w:w="9273" w:type="dxa"/>
        <w:jc w:val="left"/>
        <w:tblInd w:w="0" w:type="dxa"/>
        <w:tblLayout w:type="fixed"/>
        <w:tblCellMar>
          <w:top w:w="28" w:type="dxa"/>
          <w:left w:w="28" w:type="dxa"/>
          <w:bottom w:w="28" w:type="dxa"/>
          <w:right w:w="28" w:type="dxa"/>
        </w:tblCellMar>
      </w:tblPr>
      <w:tblGrid>
        <w:gridCol w:w="1290"/>
        <w:gridCol w:w="1137"/>
        <w:gridCol w:w="1142"/>
        <w:gridCol w:w="109"/>
        <w:gridCol w:w="109"/>
        <w:gridCol w:w="109"/>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129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5,695 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3,339 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7,904 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6,642 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Stock 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5,695 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3,339 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7,904 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6,642 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lineRule="auto" w:line="288" w:before="240" w:after="283"/>
        <w:jc w:val="both"/>
        <w:rPr/>
      </w:pPr>
      <w:r>
        <w:rPr>
          <w:rFonts w:ascii="Times New Roman;serif" w:hAnsi="Times New Roman;serif"/>
          <w:b w:val="false"/>
          <w:color w:val="000000"/>
          <w:sz w:val="20"/>
        </w:rPr>
        <w:t xml:space="preserve">In April 2026, the Board authorized the repurchase of up to 5% or 3,643,818 shares of the Company’s issued and outstanding Common Stock over a 12 month period, provided, that in no event will the Company repurchase Common Stock, in the aggregate, in excess of $20,000, which repurchase program was publicly announced by the Company on April 30, 2026. The repurchases may be made from time to time over a period of 12 months ending April 30, 2027, unless such share or dollar limit is met sooner. During the three months ended June 30, 2026, the Company repurchased 320,000 shares of Common stock for $2,003, under the repurchase program. For additional information regarding the Company's share repurchases during the three months ended June 30, 2026, including a month-by-month summary of shares repurchased, average price paid per share, and remaining repurchase capacity under the program, refer to </w:t>
      </w:r>
      <w:r>
        <w:rPr>
          <w:rFonts w:ascii="Times New Roman;serif" w:hAnsi="Times New Roman;serif"/>
          <w:b w:val="false"/>
          <w:i/>
          <w:color w:val="000000"/>
          <w:sz w:val="20"/>
        </w:rPr>
        <w:t>Part II, Item 2 — Unregistered Sales of Equity Securities and Use of Proceeds</w:t>
      </w:r>
      <w:r>
        <w:rPr>
          <w:color w:val="000000"/>
        </w:rPr>
        <w:t xml:space="preserve"> </w:t>
      </w:r>
      <w:r>
        <w:rPr>
          <w:rFonts w:ascii="Times New Roman;serif" w:hAnsi="Times New Roman;serif"/>
          <w:b w:val="false"/>
          <w:color w:val="000000"/>
          <w:sz w:val="20"/>
        </w:rPr>
        <w:t>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200" w:after="2"/>
        <w:jc w:val="both"/>
        <w:rPr/>
      </w:pPr>
      <w:hyperlink w:anchor="i4eefff2545794af2a9cb746809773a65_7">
        <w:r>
          <w:rPr>
            <w:rStyle w:val="InternetLink"/>
            <w:rFonts w:ascii="Times New Roman;serif" w:hAnsi="Times New Roman;serif"/>
            <w:b w:val="false"/>
            <w:color w:val="0000FF"/>
            <w:sz w:val="20"/>
            <w:u w:val="single"/>
          </w:rPr>
          <w:t>Table of Contents</w:t>
        </w:r>
      </w:hyperlink>
    </w:p>
    <w:tbl>
      <w:tblPr>
        <w:tblW w:w="6374" w:type="dxa"/>
        <w:jc w:val="left"/>
        <w:tblInd w:w="0" w:type="dxa"/>
        <w:tblLayout w:type="fixed"/>
        <w:tblCellMar>
          <w:top w:w="28" w:type="dxa"/>
          <w:left w:w="28" w:type="dxa"/>
          <w:bottom w:w="28" w:type="dxa"/>
          <w:right w:w="28" w:type="dxa"/>
        </w:tblCellMar>
      </w:tblPr>
      <w:tblGrid>
        <w:gridCol w:w="2038"/>
        <w:gridCol w:w="1793"/>
        <w:gridCol w:w="2543"/>
      </w:tblGrid>
      <w:tr>
        <w:trPr/>
        <w:tc>
          <w:tcPr>
            <w:tcW w:w="203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88" w:before="200" w:after="2"/>
              <w:jc w:val="center"/>
              <w:rPr>
                <w:rFonts w:ascii="Times New Roman;serif" w:hAnsi="Times New Roman;serif"/>
                <w:b/>
                <w:color w:val="000000"/>
                <w:sz w:val="20"/>
              </w:rPr>
            </w:pPr>
            <w:r>
              <w:rPr>
                <w:rFonts w:ascii="Times New Roman;serif" w:hAnsi="Times New Roman;serif"/>
                <w:b/>
                <w:color w:val="000000"/>
                <w:sz w:val="20"/>
              </w:rPr>
              <w:t>VERANO HOLDINGS CORP.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Interim Condensed Consolidated Financial Statements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in Thousands except shares and per share amounts)</w:t>
            </w:r>
          </w:p>
        </w:tc>
      </w:tr>
      <w:tr>
        <w:trPr/>
        <w:tc>
          <w:tcPr>
            <w:tcW w:w="6374"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63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9.INCOME TAXES</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income tax expense and effective tax rates for the three and six months ended June 30, 2026 and 2025:</w:t>
      </w:r>
    </w:p>
    <w:tbl>
      <w:tblPr>
        <w:tblW w:w="9680" w:type="dxa"/>
        <w:jc w:val="left"/>
        <w:tblInd w:w="0" w:type="dxa"/>
        <w:tblLayout w:type="fixed"/>
        <w:tblCellMar>
          <w:top w:w="28" w:type="dxa"/>
          <w:left w:w="28" w:type="dxa"/>
          <w:bottom w:w="28" w:type="dxa"/>
          <w:right w:w="28" w:type="dxa"/>
        </w:tblCellMar>
      </w:tblPr>
      <w:tblGrid>
        <w:gridCol w:w="1080"/>
        <w:gridCol w:w="948"/>
        <w:gridCol w:w="956"/>
        <w:gridCol w:w="246"/>
        <w:gridCol w:w="931"/>
        <w:gridCol w:w="317"/>
        <w:gridCol w:w="127"/>
        <w:gridCol w:w="127"/>
        <w:gridCol w:w="127"/>
        <w:gridCol w:w="246"/>
        <w:gridCol w:w="843"/>
        <w:gridCol w:w="317"/>
        <w:gridCol w:w="109"/>
        <w:gridCol w:w="109"/>
        <w:gridCol w:w="109"/>
        <w:gridCol w:w="228"/>
        <w:gridCol w:w="862"/>
        <w:gridCol w:w="293"/>
        <w:gridCol w:w="118"/>
        <w:gridCol w:w="118"/>
        <w:gridCol w:w="118"/>
        <w:gridCol w:w="228"/>
        <w:gridCol w:w="781"/>
        <w:gridCol w:w="342"/>
      </w:tblGrid>
      <w:tr>
        <w:trPr/>
        <w:tc>
          <w:tcPr>
            <w:tcW w:w="108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(10,486)</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16,002 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(16,686)</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21,836 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(2,925)</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(35,152)</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(14,548)</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(52,501)</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3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29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34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effective tax rates for the three and six months ended June 30, 2026 and 2025 were based on the Company’s forecasted annualized effective tax rates and were adjusted for discrete items that occurred within the periods presented. Net discrete tax items of $16,662 and $4,569 were recorded during the three months ended June 30, 2026 and 2025, respectively. Net discrete tax items of $29,145 and $13,634 were recorded during the six months ended June 30, 2026 and 2025, respectively. Discrete tax items recorded during the three and six months ended June 30, 2026 and 2025 primarily relate to penalties and interest on unpaid tax liabilities and the federal deferred impact of medical cannabis rescheduling.</w:t>
      </w:r>
    </w:p>
    <w:p>
      <w:pPr>
        <w:pStyle w:val="TextBody"/>
        <w:bidi w:val="0"/>
        <w:spacing w:lineRule="auto" w:line="288" w:before="240" w:after="2"/>
        <w:jc w:val="both"/>
        <w:rPr>
          <w:rFonts w:ascii="Times New Roman;serif" w:hAnsi="Times New Roman;serif"/>
          <w:b w:val="false"/>
          <w:color w:val="000000"/>
          <w:sz w:val="20"/>
        </w:rPr>
      </w:pPr>
      <w:r>
        <w:rPr>
          <w:rFonts w:ascii="Times New Roman;serif" w:hAnsi="Times New Roman;serif"/>
          <w:b w:val="false"/>
          <w:color w:val="000000"/>
          <w:sz w:val="20"/>
        </w:rPr>
        <w:t>On April 23, 2026, the Justice Department in accordance with the executive order titled “Increasing Medical Marijuana and Cannabidiol Research,” (the “Executive Order”), issued a final order (the “April Final Order”) reclassifying medical cannabis from Schedule I to Schedule III under the Controlled Substances Act (21 U.S.C § 811) (the “CSA”). This action, taken pursuant to the Attorney General’s Authority under the CSA to schedule substances in compliance with the Single Convention on Narcotic Drugs, 1961, applies only to state licensed and approved medical cannabis; all other forms of cannabis, including adult use, remains classified as Schedule I. The U.S. Internal Revenue Service (the “IRS”), in a press release, has indicated that, for Section 280E purposes, rescheduling will generally apply to the full taxable year that includes the effective date of the Final Order, for activities no longer involving Schedule I or II substances. However, formal guidance from the IRS remains pending. The ultimate impact of the Final Order, including the resolution of accrued uncertain tax positions (“UTPs”), remains uncertain and is subject to ongoing evaluation due to the complexity of the regulatory and tax environment.</w:t>
      </w:r>
    </w:p>
    <w:p>
      <w:pPr>
        <w:pStyle w:val="TextBody"/>
        <w:bidi w:val="0"/>
        <w:spacing w:lineRule="auto" w:line="288" w:before="240" w:after="2"/>
        <w:jc w:val="both"/>
        <w:rPr>
          <w:rFonts w:ascii="Times New Roman;serif" w:hAnsi="Times New Roman;serif"/>
          <w:b w:val="false"/>
          <w:color w:val="000000"/>
          <w:sz w:val="20"/>
        </w:rPr>
      </w:pPr>
      <w:r>
        <w:rPr>
          <w:rFonts w:ascii="Times New Roman;serif" w:hAnsi="Times New Roman;serif"/>
          <w:b w:val="false"/>
          <w:color w:val="000000"/>
          <w:sz w:val="20"/>
        </w:rPr>
        <w:t>The Company records an uncertain tax liability in UTPs on the Condensed Consolidated Balance Sheets for tax positions taken based on legal interpretations that challenge the Company's tax liability under Section 280E.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Company’s income taxes paid, net of refunds, were as follows:</w:t>
      </w:r>
    </w:p>
    <w:tbl>
      <w:tblPr>
        <w:tblW w:w="7405" w:type="dxa"/>
        <w:jc w:val="left"/>
        <w:tblInd w:w="0" w:type="dxa"/>
        <w:tblLayout w:type="fixed"/>
        <w:tblCellMar>
          <w:top w:w="28" w:type="dxa"/>
          <w:left w:w="28" w:type="dxa"/>
          <w:bottom w:w="28" w:type="dxa"/>
          <w:right w:w="28" w:type="dxa"/>
        </w:tblCellMar>
      </w:tblPr>
      <w:tblGrid>
        <w:gridCol w:w="1275"/>
        <w:gridCol w:w="1119"/>
        <w:gridCol w:w="1130"/>
        <w:gridCol w:w="109"/>
        <w:gridCol w:w="109"/>
        <w:gridCol w:w="109"/>
        <w:gridCol w:w="690"/>
        <w:gridCol w:w="2360"/>
        <w:gridCol w:w="504"/>
      </w:tblGrid>
      <w:tr>
        <w:trPr/>
        <w:tc>
          <w:tcPr>
            <w:tcW w:w="1275"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For the Six Months Ended June 30, 2026</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5,060 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U.S. 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Florida</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6,421 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Virginia</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U.S. 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9,147 </w:t>
            </w:r>
          </w:p>
        </w:tc>
        <w:tc>
          <w:tcPr>
            <w:tcW w:w="5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Income Taxes Paid, net of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14,207 </w:t>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(1)</w:t>
      </w:r>
      <w:r>
        <w:rPr>
          <w:rFonts w:ascii="Times New Roman;serif" w:hAnsi="Times New Roman;serif"/>
          <w:b w:val="false"/>
          <w:color w:val="000000"/>
          <w:sz w:val="16"/>
        </w:rPr>
        <w:t>Income taxes paid, net of refunds exceeds 5% of total income taxes paid, net of refunds, in this jurisdiction.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Taxes paid during the six months ended June 30, 2025 were $52,037.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200" w:after="2"/>
        <w:jc w:val="both"/>
        <w:rPr/>
      </w:pPr>
      <w:hyperlink w:anchor="i4eefff2545794af2a9cb746809773a65_7">
        <w:r>
          <w:rPr>
            <w:rStyle w:val="InternetLink"/>
            <w:rFonts w:ascii="Times New Roman;serif" w:hAnsi="Times New Roman;serif"/>
            <w:b w:val="false"/>
            <w:color w:val="0000FF"/>
            <w:sz w:val="20"/>
            <w:u w:val="single"/>
          </w:rPr>
          <w:t>Table of Contents</w:t>
        </w:r>
      </w:hyperlink>
    </w:p>
    <w:tbl>
      <w:tblPr>
        <w:tblW w:w="6374" w:type="dxa"/>
        <w:jc w:val="left"/>
        <w:tblInd w:w="0" w:type="dxa"/>
        <w:tblLayout w:type="fixed"/>
        <w:tblCellMar>
          <w:top w:w="28" w:type="dxa"/>
          <w:left w:w="28" w:type="dxa"/>
          <w:bottom w:w="28" w:type="dxa"/>
          <w:right w:w="28" w:type="dxa"/>
        </w:tblCellMar>
      </w:tblPr>
      <w:tblGrid>
        <w:gridCol w:w="2038"/>
        <w:gridCol w:w="1793"/>
        <w:gridCol w:w="2543"/>
      </w:tblGrid>
      <w:tr>
        <w:trPr/>
        <w:tc>
          <w:tcPr>
            <w:tcW w:w="203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88" w:before="200" w:after="2"/>
              <w:jc w:val="center"/>
              <w:rPr>
                <w:rFonts w:ascii="Times New Roman;serif" w:hAnsi="Times New Roman;serif"/>
                <w:b/>
                <w:color w:val="000000"/>
                <w:sz w:val="20"/>
              </w:rPr>
            </w:pPr>
            <w:r>
              <w:rPr>
                <w:rFonts w:ascii="Times New Roman;serif" w:hAnsi="Times New Roman;serif"/>
                <w:b/>
                <w:color w:val="000000"/>
                <w:sz w:val="20"/>
              </w:rPr>
              <w:t>VERANO HOLDINGS CORP.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Interim Condensed Consolidated Financial Statements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in Thousands except shares and per share amounts)</w:t>
            </w:r>
          </w:p>
        </w:tc>
      </w:tr>
      <w:tr>
        <w:trPr/>
        <w:tc>
          <w:tcPr>
            <w:tcW w:w="6374"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63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ind w:left="0" w:right="0" w:hanging="360"/>
              <w:jc w:val="both"/>
              <w:rPr/>
            </w:pPr>
            <w:r>
              <w:rPr>
                <w:rFonts w:ascii="Times New Roman;serif" w:hAnsi="Times New Roman;serif"/>
                <w:b/>
                <w:color w:val="000000"/>
                <w:sz w:val="20"/>
              </w:rPr>
              <w:t>10.</w:t>
            </w:r>
            <w:r>
              <w:rPr>
                <w:color w:val="000000"/>
              </w:rPr>
              <w:t> </w:t>
            </w:r>
            <w:r>
              <w:rPr>
                <w:rFonts w:ascii="Times New Roman;serif" w:hAnsi="Times New Roman;serif"/>
                <w:b/>
                <w:color w:val="000000"/>
                <w:sz w:val="20"/>
              </w:rPr>
              <w:t>LEASES</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operating leases for some of its retail dispensaries and processing and production facilities located throughout the U.S., as well as for its corporate offices located in Chicago, Illinois. Operating lease right-of-use assets and operating lease liabilities are recognized based on the present value of future minimum lease payments over the lease term at commencement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Leases with an initial term of 12 months or less are not recorded on the Company's balance sheet. Certain leases require payments for taxes, insurance, and maintenance, and are considered non-lease components. The Company accounts for non-lease components separately.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is a lease at inception. The Company must consider whether the contract conveys the right to control the use of an identified asset.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leases certain business facilities from third parties under non-cancellable operating lease agreements that contain minimum rental provisions that expire through 2040. Some leases also contain renewal provisions and provide for rent abatement and escalating payments.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the Company recorded approximately $5,713 and $5,718 in operating lease expense, respectively, of which $302 and $317 was included in cost of goods sold for the same periods, respectively. During the six months ended June 30, 2026 and 2025, the Company recorded approximately $11,362 and $11,410 in operating lease expense, respectively, of which $575 and $635 was included in cost of goods sold for the same periods,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Other information related to operating leases as of and for the periods ended June 30, 2026 and December 31, 2025, were as follows:</w:t>
      </w:r>
    </w:p>
    <w:tbl>
      <w:tblPr>
        <w:tblW w:w="6666" w:type="dxa"/>
        <w:jc w:val="left"/>
        <w:tblInd w:w="0" w:type="dxa"/>
        <w:tblLayout w:type="fixed"/>
        <w:tblCellMar>
          <w:top w:w="28" w:type="dxa"/>
          <w:left w:w="28" w:type="dxa"/>
          <w:bottom w:w="28" w:type="dxa"/>
          <w:right w:w="28" w:type="dxa"/>
        </w:tblCellMar>
      </w:tblPr>
      <w:tblGrid>
        <w:gridCol w:w="1404"/>
        <w:gridCol w:w="1236"/>
        <w:gridCol w:w="1244"/>
        <w:gridCol w:w="308"/>
        <w:gridCol w:w="308"/>
        <w:gridCol w:w="450"/>
        <w:gridCol w:w="109"/>
        <w:gridCol w:w="109"/>
        <w:gridCol w:w="109"/>
        <w:gridCol w:w="308"/>
        <w:gridCol w:w="308"/>
        <w:gridCol w:w="773"/>
      </w:tblGrid>
      <w:tr>
        <w:trPr/>
        <w:tc>
          <w:tcPr>
            <w:tcW w:w="140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 years</w:t>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7.45</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45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77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Maturities of lease liabilities for operating leases as of June 30, 2026 were as follows:</w:t>
      </w:r>
    </w:p>
    <w:tbl>
      <w:tblPr>
        <w:tblW w:w="5414" w:type="dxa"/>
        <w:jc w:val="left"/>
        <w:tblInd w:w="0" w:type="dxa"/>
        <w:tblLayout w:type="fixed"/>
        <w:tblCellMar>
          <w:top w:w="28" w:type="dxa"/>
          <w:left w:w="28" w:type="dxa"/>
          <w:bottom w:w="28" w:type="dxa"/>
          <w:right w:w="28" w:type="dxa"/>
        </w:tblCellMar>
      </w:tblPr>
      <w:tblGrid>
        <w:gridCol w:w="1025"/>
        <w:gridCol w:w="903"/>
        <w:gridCol w:w="906"/>
        <w:gridCol w:w="457"/>
        <w:gridCol w:w="1790"/>
        <w:gridCol w:w="333"/>
      </w:tblGrid>
      <w:tr>
        <w:trPr/>
        <w:tc>
          <w:tcPr>
            <w:tcW w:w="102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Year Ending December 31,</w:t>
            </w:r>
          </w:p>
        </w:tc>
        <w:tc>
          <w:tcPr>
            <w:tcW w:w="258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Maturities of Lease Liability</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11,156 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2027</w:t>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22,306 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2028</w:t>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21,764 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2029</w:t>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20,659 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2030</w:t>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19,729 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52,242 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Total Lease Payments</w:t>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147,856 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(46,788)</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Present Value of Lease Liability</w:t>
            </w:r>
          </w:p>
        </w:tc>
        <w:tc>
          <w:tcPr>
            <w:tcW w:w="45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9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101,068 </w:t>
            </w:r>
          </w:p>
        </w:tc>
        <w:tc>
          <w:tcPr>
            <w:tcW w:w="33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200" w:after="2"/>
        <w:jc w:val="both"/>
        <w:rPr/>
      </w:pPr>
      <w:hyperlink w:anchor="i4eefff2545794af2a9cb746809773a65_7">
        <w:r>
          <w:rPr>
            <w:rStyle w:val="InternetLink"/>
            <w:rFonts w:ascii="Times New Roman;serif" w:hAnsi="Times New Roman;serif"/>
            <w:b w:val="false"/>
            <w:color w:val="0000FF"/>
            <w:sz w:val="20"/>
            <w:u w:val="single"/>
          </w:rPr>
          <w:t>Table of Contents</w:t>
        </w:r>
      </w:hyperlink>
    </w:p>
    <w:tbl>
      <w:tblPr>
        <w:tblW w:w="6374" w:type="dxa"/>
        <w:jc w:val="left"/>
        <w:tblInd w:w="0" w:type="dxa"/>
        <w:tblLayout w:type="fixed"/>
        <w:tblCellMar>
          <w:top w:w="28" w:type="dxa"/>
          <w:left w:w="28" w:type="dxa"/>
          <w:bottom w:w="28" w:type="dxa"/>
          <w:right w:w="28" w:type="dxa"/>
        </w:tblCellMar>
      </w:tblPr>
      <w:tblGrid>
        <w:gridCol w:w="2038"/>
        <w:gridCol w:w="1793"/>
        <w:gridCol w:w="2543"/>
      </w:tblGrid>
      <w:tr>
        <w:trPr/>
        <w:tc>
          <w:tcPr>
            <w:tcW w:w="203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88" w:before="200" w:after="2"/>
              <w:jc w:val="center"/>
              <w:rPr>
                <w:rFonts w:ascii="Times New Roman;serif" w:hAnsi="Times New Roman;serif"/>
                <w:b/>
                <w:color w:val="000000"/>
                <w:sz w:val="20"/>
              </w:rPr>
            </w:pPr>
            <w:r>
              <w:rPr>
                <w:rFonts w:ascii="Times New Roman;serif" w:hAnsi="Times New Roman;serif"/>
                <w:b/>
                <w:color w:val="000000"/>
                <w:sz w:val="20"/>
              </w:rPr>
              <w:t>VERANO HOLDINGS CORP.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Interim Condensed Consolidated Financial Statements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in Thousands except shares and per share amounts)</w:t>
            </w:r>
          </w:p>
        </w:tc>
      </w:tr>
      <w:tr>
        <w:trPr/>
        <w:tc>
          <w:tcPr>
            <w:tcW w:w="6374"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63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11.CONTINGENCIES AND OTHER</w:t>
            </w:r>
          </w:p>
        </w:tc>
      </w:tr>
    </w:tbl>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(a)Claims and Litigation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 involved in litigation relating to claims arising out of operations in the normal course of business. As of June 30, 2026, there were no pending or threatened lawsuits that could reasonably be expected to have a material effect on the results of the Company’s consolidated operations. There are no proceedings in which the Company is a party and any of the Company’s directors, officers or affiliates is an adverse party or has a material interest adverse to the Company’s interest. The Company accrues loss contingencies in accordance with ASC 450, Contingencies, if, in the opinion of management and its legal counsel, the risk of loss is probable and the amount can be reasonably estimated.</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(b)Illegality of Cannabis at the U.S. Federal Level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Notwithstanding the permissive regulatory environment of medical, and in some cases, also adult use (i.e., recreational) cannabis, at the state level, it remains illegal under U.S. federal law, subject to recently enacted exceptions as detailed below, to cultivate, manufacture, distribute, sell, or possess cannabis in the U.S. Because federal law prohibits transporting any federally restricted substance across state lines, cannabis cannot be transported across state lines. As a result of current federal law prohibitions, the U.S. cannabis industry is conducted on a state-by-state basis. To date, in the U.S. 40 states plus the District of Columbia and the U.S. territories of Puerto Rico, Guam, the Commonwealth of Northern Marina Islands, and the U.S. Virgin Islands have authorized comprehensive medical cannabis programs, 24 states plus the District of Columbia and the U.S. territories of Guam, the Commonwealth of Northern Mariana Islands, and the U.S. Virgin Islands have authorized comprehensive programs for medical and adult use (i.e. recreational) cannabis, and eight states allow the use of low tetrahydrocannabinol and high cannabidiol products for specified medical uses. Verano operates within states where cannabis use, medical or both medical and adult use, has been approved by state and local regulatory bodies.</w:t>
      </w:r>
    </w:p>
    <w:p>
      <w:pPr>
        <w:pStyle w:val="TextBody"/>
        <w:bidi w:val="0"/>
        <w:spacing w:lineRule="auto" w:line="288" w:before="240" w:after="2"/>
        <w:jc w:val="both"/>
        <w:rPr>
          <w:rFonts w:ascii="Times New Roman;serif" w:hAnsi="Times New Roman;serif"/>
          <w:b w:val="false"/>
          <w:color w:val="000000"/>
          <w:sz w:val="20"/>
        </w:rPr>
      </w:pPr>
      <w:r>
        <w:rPr>
          <w:rFonts w:ascii="Times New Roman;serif" w:hAnsi="Times New Roman;serif"/>
          <w:b w:val="false"/>
          <w:color w:val="000000"/>
          <w:sz w:val="20"/>
        </w:rPr>
        <w:t>On December 18, 2025, President Trump issued the Executive Order, which directs federal agencies to expedite the process of rescheduling cannabis from a Schedule I to a Schedule III controlled substance under the the CSA. Rescheduling cannabis to Schedule III would not legalize state sanctioned medical cultivation, manufacturing, distribution, sale or possession of medical or adult use cannabis in the U.S. However, it would lessen criminal penalties at the federal level and remove Section 280E tax considerations. The final effects of the Executive Order are dependent on other government actions. Despite such actions and the ongoing rule making process, there can be no guarantees that the rescheduling rule making process will continue on a certain timeline or that any rules will come out of the rule making process that will benefit the Company. The Executive Order, and rescheduling cannabis to Schedule III, alone, does not federally legalize adult use and would not federally authorize or approve state sanctioned medical programs. Cannabis would still be subject to the same Food and Drug Administration (“FDA”) drug approval process as all other substances, and sales outside of FDA approval, would still be criminal at the federal level.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00" w:after="2"/>
        <w:jc w:val="both"/>
        <w:rPr/>
      </w:pPr>
      <w:hyperlink w:anchor="i4eefff2545794af2a9cb746809773a65_7">
        <w:r>
          <w:rPr>
            <w:rStyle w:val="InternetLink"/>
            <w:rFonts w:ascii="Times New Roman;serif" w:hAnsi="Times New Roman;serif"/>
            <w:b w:val="false"/>
            <w:color w:val="0000FF"/>
            <w:sz w:val="20"/>
            <w:u w:val="single"/>
          </w:rPr>
          <w:t>Table of Contents</w:t>
        </w:r>
      </w:hyperlink>
    </w:p>
    <w:tbl>
      <w:tblPr>
        <w:tblW w:w="6374" w:type="dxa"/>
        <w:jc w:val="left"/>
        <w:tblInd w:w="0" w:type="dxa"/>
        <w:tblLayout w:type="fixed"/>
        <w:tblCellMar>
          <w:top w:w="28" w:type="dxa"/>
          <w:left w:w="28" w:type="dxa"/>
          <w:bottom w:w="28" w:type="dxa"/>
          <w:right w:w="28" w:type="dxa"/>
        </w:tblCellMar>
      </w:tblPr>
      <w:tblGrid>
        <w:gridCol w:w="2038"/>
        <w:gridCol w:w="1793"/>
        <w:gridCol w:w="2543"/>
      </w:tblGrid>
      <w:tr>
        <w:trPr/>
        <w:tc>
          <w:tcPr>
            <w:tcW w:w="203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88" w:before="200" w:after="2"/>
              <w:jc w:val="center"/>
              <w:rPr>
                <w:rFonts w:ascii="Times New Roman;serif" w:hAnsi="Times New Roman;serif"/>
                <w:b/>
                <w:color w:val="000000"/>
                <w:sz w:val="20"/>
              </w:rPr>
            </w:pPr>
            <w:r>
              <w:rPr>
                <w:rFonts w:ascii="Times New Roman;serif" w:hAnsi="Times New Roman;serif"/>
                <w:b/>
                <w:color w:val="000000"/>
                <w:sz w:val="20"/>
              </w:rPr>
              <w:t>VERANO HOLDINGS CORP.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Interim Condensed Consolidated Financial Statements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in Thousands except shares and per share amounts)</w:t>
            </w:r>
          </w:p>
        </w:tc>
      </w:tr>
      <w:tr>
        <w:trPr/>
        <w:tc>
          <w:tcPr>
            <w:tcW w:w="6374"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63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ind w:left="0" w:right="0" w:hanging="360"/>
              <w:jc w:val="both"/>
              <w:rPr/>
            </w:pPr>
            <w:r>
              <w:rPr>
                <w:rFonts w:ascii="Times New Roman;serif" w:hAnsi="Times New Roman;serif"/>
                <w:b/>
                <w:color w:val="000000"/>
                <w:sz w:val="20"/>
              </w:rPr>
              <w:t xml:space="preserve">11.CONTINGENCIES AND OTHER </w:t>
            </w:r>
            <w:r>
              <w:rPr>
                <w:rFonts w:ascii="Times New Roman;serif" w:hAnsi="Times New Roman;serif"/>
                <w:b w:val="false"/>
                <w:i/>
                <w:color w:val="000000"/>
                <w:sz w:val="20"/>
              </w:rPr>
              <w:t>(Continued)</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April 23, 2026, the Justice Department in accordance with the Executive Order issued the April Final Order reclassifying medical cannabis from Schedule I to Schedule III under the CSA. This action, taken pursuant to the Attorney General’s Authority under the CSA to schedule substances in compliance with the Single Convention on Narcotic Drugs, 1961, applies only to state licensed and approved medical cannabis; all other forms of cannabis. including adult use, remains classified as Schedule I. The April Final Order, effective as of April 26, 2026, provides an expedited registration process for state medical licensees and specifically states that registered state medical licensees will no longer be subject to the constraints of Section 280E. Separately, the Attorney General filed notices withdrawing the pending hearing on the proposed rulemaking notice filed in 2024, and instituted a new hearing on the proposed rule which began on June 29, 2026 and concluded on July 15, 2026. This expedited hearing addressed rescheduling the plant in its entirety, outside of state sanctioned medical programs. The evidentiary hearing concluded on July 15, 2026, and initial briefings are due from the parties on August 17, 2026. To date, no schedule has been set for an issuance of a final order on the hearing. The IRS, in a press release, has indicated that, for Section 280E purposes, rescheduling will generally apply to the full taxable year that includes the effective date of the April Final Order, for activities no longer involving Schedule I or II substances. However, formal guidance from the IRS remains pending. The ultimate impact of the April Final Order and the hearing — including the resolution of accrued UTPs, remains uncertain and is subject to ongoing evaluation due to the complexity of the regulatory and tax environment. In May 2026, several petitions were filed challenging the April Final Order, along with a motion to stay the April Final Order. The outcome of this litigation and its impact on the April Final Order and the hearing are uncertain.</w:t>
      </w:r>
    </w:p>
    <w:p>
      <w:pPr>
        <w:pStyle w:val="TextBody"/>
        <w:bidi w:val="0"/>
        <w:spacing w:before="20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200" w:after="2"/>
        <w:jc w:val="both"/>
        <w:rPr/>
      </w:pPr>
      <w:hyperlink w:anchor="i4eefff2545794af2a9cb746809773a65_7">
        <w:r>
          <w:rPr>
            <w:rStyle w:val="InternetLink"/>
            <w:rFonts w:ascii="Times New Roman;serif" w:hAnsi="Times New Roman;serif"/>
            <w:b w:val="false"/>
            <w:color w:val="0000FF"/>
            <w:sz w:val="20"/>
            <w:u w:val="single"/>
          </w:rPr>
          <w:t>Table of Contents</w:t>
        </w:r>
      </w:hyperlink>
    </w:p>
    <w:tbl>
      <w:tblPr>
        <w:tblW w:w="6374" w:type="dxa"/>
        <w:jc w:val="left"/>
        <w:tblInd w:w="0" w:type="dxa"/>
        <w:tblLayout w:type="fixed"/>
        <w:tblCellMar>
          <w:top w:w="28" w:type="dxa"/>
          <w:left w:w="28" w:type="dxa"/>
          <w:bottom w:w="28" w:type="dxa"/>
          <w:right w:w="28" w:type="dxa"/>
        </w:tblCellMar>
      </w:tblPr>
      <w:tblGrid>
        <w:gridCol w:w="2038"/>
        <w:gridCol w:w="1793"/>
        <w:gridCol w:w="2543"/>
      </w:tblGrid>
      <w:tr>
        <w:trPr/>
        <w:tc>
          <w:tcPr>
            <w:tcW w:w="203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88" w:before="200" w:after="2"/>
              <w:jc w:val="center"/>
              <w:rPr>
                <w:rFonts w:ascii="Times New Roman;serif" w:hAnsi="Times New Roman;serif"/>
                <w:b/>
                <w:color w:val="000000"/>
                <w:sz w:val="20"/>
              </w:rPr>
            </w:pPr>
            <w:r>
              <w:rPr>
                <w:rFonts w:ascii="Times New Roman;serif" w:hAnsi="Times New Roman;serif"/>
                <w:b/>
                <w:color w:val="000000"/>
                <w:sz w:val="20"/>
              </w:rPr>
              <w:t>VERANO HOLDINGS CORP.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Interim Condensed Consolidated Financial Statements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in Thousands except shares and per share amounts)</w:t>
            </w:r>
          </w:p>
        </w:tc>
      </w:tr>
      <w:tr>
        <w:trPr/>
        <w:tc>
          <w:tcPr>
            <w:tcW w:w="6374"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63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
              <w:ind w:left="0" w:right="0" w:hanging="360"/>
              <w:jc w:val="both"/>
              <w:rPr>
                <w:rFonts w:ascii="Times New Roman;serif" w:hAnsi="Times New Roman;serif"/>
                <w:b/>
                <w:color w:val="000000"/>
                <w:sz w:val="20"/>
              </w:rPr>
            </w:pPr>
            <w:r>
              <w:rPr>
                <w:rFonts w:ascii="Times New Roman;serif" w:hAnsi="Times New Roman;serif"/>
                <w:b/>
                <w:color w:val="000000"/>
                <w:sz w:val="20"/>
              </w:rPr>
              <w:t>12.SEGMENTS</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conducts and manages its business through two reportable segments, representing the major lines of its cannabis business: cultivation (wholesale) and retail. The cultivation (wholesale) segment consists of the cultivation, production and sale of cannabis products to retail stores. The retail segment consists of the retailing of cannabis to patients and consumers.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assets are aggregated into reportable segments (cultivation (wholesale) and retail). The Company determined its reportable segments by first reviewing the operating segments based on the geographic areas in which the Company conducts business (or each market). The markets were then further divided into reporting units based on the market operations (cultivation (wholesale) and retail) which were primarily determined based on the licenses each market holds. All revenues are derived from sales transacted within the United States and substantially all assets are located in the United States.</w:t>
      </w:r>
    </w:p>
    <w:p>
      <w:pPr>
        <w:pStyle w:val="TextBody"/>
        <w:bidi w:val="0"/>
        <w:spacing w:lineRule="auto" w:line="288" w:before="240" w:after="283"/>
        <w:jc w:val="both"/>
        <w:rPr/>
      </w:pPr>
      <w:r>
        <w:rPr>
          <w:rFonts w:ascii="Times New Roman;serif" w:hAnsi="Times New Roman;serif"/>
          <w:b w:val="false"/>
          <w:color w:val="000000"/>
          <w:sz w:val="20"/>
        </w:rPr>
        <w:t xml:space="preserve">The accounting policies used in the segment reporting are the same as those described in </w:t>
      </w:r>
      <w:r>
        <w:rPr>
          <w:rFonts w:ascii="Times New Roman;serif" w:hAnsi="Times New Roman;serif"/>
          <w:b w:val="false"/>
          <w:i/>
          <w:color w:val="000000"/>
          <w:sz w:val="20"/>
        </w:rPr>
        <w:t>Note 2 - Significant Accounting Policies</w:t>
      </w:r>
      <w:r>
        <w:rPr>
          <w:color w:val="000000"/>
        </w:rPr>
        <w:t xml:space="preserve"> </w:t>
      </w:r>
      <w:r>
        <w:rPr>
          <w:rFonts w:ascii="Times New Roman;serif" w:hAnsi="Times New Roman;serif"/>
          <w:b w:val="false"/>
          <w:color w:val="000000"/>
          <w:sz w:val="20"/>
        </w:rPr>
        <w:t>within the 2025 Annual Audited Financials on Form 10-K.</w:t>
      </w:r>
      <w:r>
        <w:rPr>
          <w:color w:val="000000"/>
        </w:rPr>
        <w:t xml:space="preserve"> </w:t>
      </w:r>
      <w:r>
        <w:rPr>
          <w:rFonts w:ascii="Times New Roman;serif" w:hAnsi="Times New Roman;serif"/>
          <w:b w:val="false"/>
          <w:color w:val="000000"/>
          <w:sz w:val="20"/>
        </w:rPr>
        <w:t>The Company’s chief operating decision maker (the “CODM”) is the Chief Executive Officer. The CODM utilizes each segment’s Adjusted EBITDA as the key indicator in assessing the segment’s performance and allocating resources. Segment-level Adjusted EBITDA includes intersegment revenues which consist primarily of sales of finished goods product from the wholesale (cultivation) to retail segment. Intersegment transactions are eliminated in consolidation. The elimination of such intersegment transactions is included in “All Other” in the tables below. Additionally, we do not allocate certain shared expenses such as accounting, human resources, certain information technology and legal to our reportable segments. We include these expenses in “All Other” in the tables below. The “All Other” column in the tables below also includes unallocated corporate functions and expenses. Certain prior year line items have been adjusted and our allocation methodology is periodically evaluated and may change.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Within the tables below the Other Segment Items for each segment primarily consists of certain selling, general, and administrative expenses and other operational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200" w:after="2"/>
        <w:jc w:val="both"/>
        <w:rPr/>
      </w:pPr>
      <w:hyperlink w:anchor="i4eefff2545794af2a9cb746809773a65_7">
        <w:r>
          <w:rPr>
            <w:rStyle w:val="InternetLink"/>
            <w:rFonts w:ascii="Times New Roman;serif" w:hAnsi="Times New Roman;serif"/>
            <w:b w:val="false"/>
            <w:color w:val="0000FF"/>
            <w:sz w:val="20"/>
            <w:u w:val="single"/>
          </w:rPr>
          <w:t>Table of Contents</w:t>
        </w:r>
      </w:hyperlink>
    </w:p>
    <w:tbl>
      <w:tblPr>
        <w:tblW w:w="6374" w:type="dxa"/>
        <w:jc w:val="left"/>
        <w:tblInd w:w="0" w:type="dxa"/>
        <w:tblLayout w:type="fixed"/>
        <w:tblCellMar>
          <w:top w:w="28" w:type="dxa"/>
          <w:left w:w="28" w:type="dxa"/>
          <w:bottom w:w="28" w:type="dxa"/>
          <w:right w:w="28" w:type="dxa"/>
        </w:tblCellMar>
      </w:tblPr>
      <w:tblGrid>
        <w:gridCol w:w="2038"/>
        <w:gridCol w:w="1793"/>
        <w:gridCol w:w="2543"/>
      </w:tblGrid>
      <w:tr>
        <w:trPr/>
        <w:tc>
          <w:tcPr>
            <w:tcW w:w="203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88" w:before="200" w:after="2"/>
              <w:jc w:val="center"/>
              <w:rPr>
                <w:rFonts w:ascii="Times New Roman;serif" w:hAnsi="Times New Roman;serif"/>
                <w:b/>
                <w:color w:val="000000"/>
                <w:sz w:val="20"/>
              </w:rPr>
            </w:pPr>
            <w:r>
              <w:rPr>
                <w:rFonts w:ascii="Times New Roman;serif" w:hAnsi="Times New Roman;serif"/>
                <w:b/>
                <w:color w:val="000000"/>
                <w:sz w:val="20"/>
              </w:rPr>
              <w:t>VERANO HOLDINGS CORP.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Interim Condensed Consolidated Financial Statements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in Thousands except shares and per share amounts)</w:t>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
              <w:ind w:left="0" w:right="0" w:hanging="360"/>
              <w:jc w:val="both"/>
              <w:rPr/>
            </w:pPr>
            <w:r>
              <w:rPr>
                <w:rFonts w:ascii="Times New Roman;serif" w:hAnsi="Times New Roman;serif"/>
                <w:b/>
                <w:color w:val="000000"/>
                <w:sz w:val="20"/>
              </w:rPr>
              <w:t xml:space="preserve">12.SEGMENTS </w:t>
            </w:r>
            <w:r>
              <w:rPr>
                <w:rFonts w:ascii="Times New Roman;serif" w:hAnsi="Times New Roman;serif"/>
                <w:b w:val="false"/>
                <w:i/>
                <w:color w:val="000000"/>
                <w:sz w:val="20"/>
              </w:rPr>
              <w:t>(Continued)</w:t>
            </w:r>
          </w:p>
        </w:tc>
      </w:tr>
    </w:tbl>
    <w:p>
      <w:pPr>
        <w:pStyle w:val="TextBody"/>
        <w:bidi w:val="0"/>
        <w:spacing w:lineRule="auto" w:line="300" w:before="240" w:after="2"/>
        <w:jc w:val="both"/>
        <w:rPr>
          <w:rFonts w:ascii="Times New Roman;serif" w:hAnsi="Times New Roman;serif"/>
          <w:b w:val="false"/>
          <w:color w:val="000000"/>
          <w:sz w:val="20"/>
        </w:rPr>
      </w:pPr>
      <w:r>
        <w:rPr>
          <w:rFonts w:ascii="Times New Roman;serif" w:hAnsi="Times New Roman;serif"/>
          <w:b w:val="false"/>
          <w:color w:val="000000"/>
          <w:sz w:val="20"/>
        </w:rPr>
        <w:t>Summarized financial information for the Company's reportable segments for the three months ended June 30, 2026 and 2025, consisted of the following:</w:t>
      </w:r>
    </w:p>
    <w:tbl>
      <w:tblPr>
        <w:tblW w:w="10205" w:type="dxa"/>
        <w:jc w:val="left"/>
        <w:tblInd w:w="0" w:type="dxa"/>
        <w:tblLayout w:type="fixed"/>
        <w:tblCellMar>
          <w:top w:w="28" w:type="dxa"/>
          <w:left w:w="28" w:type="dxa"/>
          <w:bottom w:w="28" w:type="dxa"/>
          <w:right w:w="28" w:type="dxa"/>
        </w:tblCellMar>
      </w:tblPr>
      <w:tblGrid>
        <w:gridCol w:w="1719"/>
        <w:gridCol w:w="1502"/>
        <w:gridCol w:w="1508"/>
        <w:gridCol w:w="211"/>
        <w:gridCol w:w="826"/>
        <w:gridCol w:w="109"/>
        <w:gridCol w:w="109"/>
        <w:gridCol w:w="109"/>
        <w:gridCol w:w="109"/>
        <w:gridCol w:w="211"/>
        <w:gridCol w:w="721"/>
        <w:gridCol w:w="109"/>
        <w:gridCol w:w="109"/>
        <w:gridCol w:w="109"/>
        <w:gridCol w:w="109"/>
        <w:gridCol w:w="211"/>
        <w:gridCol w:w="794"/>
        <w:gridCol w:w="109"/>
        <w:gridCol w:w="109"/>
        <w:gridCol w:w="109"/>
        <w:gridCol w:w="109"/>
        <w:gridCol w:w="211"/>
        <w:gridCol w:w="826"/>
        <w:gridCol w:w="157"/>
      </w:tblGrid>
      <w:tr>
        <w:trPr/>
        <w:tc>
          <w:tcPr>
            <w:tcW w:w="171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6"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For the Three Months Ended June 30, 2026</w:t>
            </w:r>
          </w:p>
        </w:tc>
      </w:tr>
      <w:tr>
        <w:trPr/>
        <w:tc>
          <w:tcPr>
            <w:tcW w:w="4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Retail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Wholesale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7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Revenues, net of Discounts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182,158 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79,812 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(44,052)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217,918 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Cost of Goods Sold,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(118,219)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(48,468)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53,177 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(30,009)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51,231 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Acquisition Adjustments and Other Income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(3,812)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Acquisition, Transaction and Other Non-operating Costs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(7,459)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Employee Stock Compensation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(5,695)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(11,258)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(29,431)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(4,062)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Loss from operations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(10,486)</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19"/>
        <w:gridCol w:w="1502"/>
        <w:gridCol w:w="1508"/>
        <w:gridCol w:w="211"/>
        <w:gridCol w:w="826"/>
        <w:gridCol w:w="109"/>
        <w:gridCol w:w="109"/>
        <w:gridCol w:w="109"/>
        <w:gridCol w:w="109"/>
        <w:gridCol w:w="211"/>
        <w:gridCol w:w="721"/>
        <w:gridCol w:w="109"/>
        <w:gridCol w:w="109"/>
        <w:gridCol w:w="109"/>
        <w:gridCol w:w="109"/>
        <w:gridCol w:w="211"/>
        <w:gridCol w:w="794"/>
        <w:gridCol w:w="109"/>
        <w:gridCol w:w="109"/>
        <w:gridCol w:w="109"/>
        <w:gridCol w:w="109"/>
        <w:gridCol w:w="211"/>
        <w:gridCol w:w="826"/>
        <w:gridCol w:w="157"/>
      </w:tblGrid>
      <w:tr>
        <w:trPr/>
        <w:tc>
          <w:tcPr>
            <w:tcW w:w="171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6"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For the Three Months Ended June 30, 2025</w:t>
            </w:r>
          </w:p>
        </w:tc>
      </w:tr>
      <w:tr>
        <w:trPr/>
        <w:tc>
          <w:tcPr>
            <w:tcW w:w="4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Retail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Wholesale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7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Revenues, net of Discounts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169,098 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(40,166)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202,272 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Cost of Goods Sold,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(87,932)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(89,288)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(46,831)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(32,359)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66,153 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Acquisition Adjustments and Other Income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Acquisition, Transaction and Other Non-operating Costs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(3,355)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Employee Stock Compensation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(3,339)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(14,207)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(31,488)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Income from operations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16,002 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00" w:after="2"/>
        <w:jc w:val="both"/>
        <w:rPr/>
      </w:pPr>
      <w:hyperlink w:anchor="i4eefff2545794af2a9cb746809773a65_7">
        <w:r>
          <w:rPr>
            <w:rStyle w:val="InternetLink"/>
            <w:rFonts w:ascii="Times New Roman;serif" w:hAnsi="Times New Roman;serif"/>
            <w:b w:val="false"/>
            <w:color w:val="0000FF"/>
            <w:sz w:val="20"/>
            <w:u w:val="single"/>
          </w:rPr>
          <w:t>Table of Contents</w:t>
        </w:r>
      </w:hyperlink>
    </w:p>
    <w:tbl>
      <w:tblPr>
        <w:tblW w:w="6374" w:type="dxa"/>
        <w:jc w:val="left"/>
        <w:tblInd w:w="0" w:type="dxa"/>
        <w:tblLayout w:type="fixed"/>
        <w:tblCellMar>
          <w:top w:w="28" w:type="dxa"/>
          <w:left w:w="28" w:type="dxa"/>
          <w:bottom w:w="28" w:type="dxa"/>
          <w:right w:w="28" w:type="dxa"/>
        </w:tblCellMar>
      </w:tblPr>
      <w:tblGrid>
        <w:gridCol w:w="2038"/>
        <w:gridCol w:w="1793"/>
        <w:gridCol w:w="2543"/>
      </w:tblGrid>
      <w:tr>
        <w:trPr/>
        <w:tc>
          <w:tcPr>
            <w:tcW w:w="203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88" w:before="200" w:after="2"/>
              <w:jc w:val="center"/>
              <w:rPr>
                <w:rFonts w:ascii="Times New Roman;serif" w:hAnsi="Times New Roman;serif"/>
                <w:b/>
                <w:color w:val="000000"/>
                <w:sz w:val="20"/>
              </w:rPr>
            </w:pPr>
            <w:r>
              <w:rPr>
                <w:rFonts w:ascii="Times New Roman;serif" w:hAnsi="Times New Roman;serif"/>
                <w:b/>
                <w:color w:val="000000"/>
                <w:sz w:val="20"/>
              </w:rPr>
              <w:t>VERANO HOLDINGS CORP.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Interim Condensed Consolidated Financial Statements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in Thousands except shares and per share amounts)</w:t>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
              <w:ind w:left="0" w:right="0" w:hanging="360"/>
              <w:jc w:val="both"/>
              <w:rPr/>
            </w:pPr>
            <w:r>
              <w:rPr>
                <w:rFonts w:ascii="Times New Roman;serif" w:hAnsi="Times New Roman;serif"/>
                <w:b/>
                <w:color w:val="000000"/>
                <w:sz w:val="20"/>
              </w:rPr>
              <w:t xml:space="preserve">12.SEGMENTS </w:t>
            </w:r>
            <w:r>
              <w:rPr>
                <w:rFonts w:ascii="Times New Roman;serif" w:hAnsi="Times New Roman;serif"/>
                <w:b w:val="false"/>
                <w:i/>
                <w:color w:val="000000"/>
                <w:sz w:val="20"/>
              </w:rPr>
              <w:t>(Continued)</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Summarized financial information for the Company's reportable segments for the six months ended June 30, 2026 and 2025, consisted of the following:</w:t>
      </w:r>
    </w:p>
    <w:tbl>
      <w:tblPr>
        <w:tblW w:w="10205" w:type="dxa"/>
        <w:jc w:val="left"/>
        <w:tblInd w:w="0" w:type="dxa"/>
        <w:tblLayout w:type="fixed"/>
        <w:tblCellMar>
          <w:top w:w="28" w:type="dxa"/>
          <w:left w:w="28" w:type="dxa"/>
          <w:bottom w:w="28" w:type="dxa"/>
          <w:right w:w="28" w:type="dxa"/>
        </w:tblCellMar>
      </w:tblPr>
      <w:tblGrid>
        <w:gridCol w:w="1688"/>
        <w:gridCol w:w="1466"/>
        <w:gridCol w:w="1472"/>
        <w:gridCol w:w="211"/>
        <w:gridCol w:w="826"/>
        <w:gridCol w:w="109"/>
        <w:gridCol w:w="109"/>
        <w:gridCol w:w="109"/>
        <w:gridCol w:w="109"/>
        <w:gridCol w:w="211"/>
        <w:gridCol w:w="826"/>
        <w:gridCol w:w="109"/>
        <w:gridCol w:w="109"/>
        <w:gridCol w:w="109"/>
        <w:gridCol w:w="109"/>
        <w:gridCol w:w="211"/>
        <w:gridCol w:w="792"/>
        <w:gridCol w:w="109"/>
        <w:gridCol w:w="109"/>
        <w:gridCol w:w="109"/>
        <w:gridCol w:w="109"/>
        <w:gridCol w:w="211"/>
        <w:gridCol w:w="826"/>
        <w:gridCol w:w="157"/>
      </w:tblGrid>
      <w:tr>
        <w:trPr/>
        <w:tc>
          <w:tcPr>
            <w:tcW w:w="1688"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For the Six Months Ended June 30, 2026</w:t>
            </w:r>
          </w:p>
        </w:tc>
      </w:tr>
      <w:tr>
        <w:trPr/>
        <w:tc>
          <w:tcPr>
            <w:tcW w:w="4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Retail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Wholesale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Revenues, net of Discounts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354,298 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158,644 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(86,846)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426,096 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Cost of Goods Sold,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(197,824)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(117,216)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87,619 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(227,421)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(56,118)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(98,440)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(57,721)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100,235 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Acquisition Adjustments and Other Income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(12,152)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Acquisition, Transaction and Other Non-operating Costs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(10,614)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Employee Stock Compensation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(7,904)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(23,570)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(58,619)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(4,062)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Loss from operations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(16,686)</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88"/>
        <w:gridCol w:w="1466"/>
        <w:gridCol w:w="1472"/>
        <w:gridCol w:w="211"/>
        <w:gridCol w:w="826"/>
        <w:gridCol w:w="109"/>
        <w:gridCol w:w="109"/>
        <w:gridCol w:w="109"/>
        <w:gridCol w:w="109"/>
        <w:gridCol w:w="211"/>
        <w:gridCol w:w="826"/>
        <w:gridCol w:w="109"/>
        <w:gridCol w:w="109"/>
        <w:gridCol w:w="109"/>
        <w:gridCol w:w="109"/>
        <w:gridCol w:w="211"/>
        <w:gridCol w:w="792"/>
        <w:gridCol w:w="109"/>
        <w:gridCol w:w="109"/>
        <w:gridCol w:w="109"/>
        <w:gridCol w:w="109"/>
        <w:gridCol w:w="211"/>
        <w:gridCol w:w="826"/>
        <w:gridCol w:w="157"/>
      </w:tblGrid>
      <w:tr>
        <w:trPr/>
        <w:tc>
          <w:tcPr>
            <w:tcW w:w="1688"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For the Six Months Ended June 30, 2025</w:t>
            </w:r>
          </w:p>
        </w:tc>
      </w:tr>
      <w:tr>
        <w:trPr/>
        <w:tc>
          <w:tcPr>
            <w:tcW w:w="4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Retail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Wholesale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Revenues, net of Discounts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337,905 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152,901 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(78,725)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412,081 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Cost of Goods Sold,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(183,161)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(92,400)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76,045 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(199,516)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(92,014)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99,165 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86,344 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(64,958)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120,551 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Acquisition Adjustments and Other Income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6,309 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Acquisition, Transaction and Other Non-operating Costs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(6,906)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Employee Stock Compensation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(6,642)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(27,769)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(63,279)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Income from operations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21,836 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200" w:after="2"/>
        <w:jc w:val="both"/>
        <w:rPr/>
      </w:pPr>
      <w:hyperlink w:anchor="i4eefff2545794af2a9cb746809773a65_7">
        <w:r>
          <w:rPr>
            <w:rStyle w:val="InternetLink"/>
            <w:rFonts w:ascii="Times New Roman;serif" w:hAnsi="Times New Roman;serif"/>
            <w:b w:val="false"/>
            <w:color w:val="0000FF"/>
            <w:sz w:val="20"/>
            <w:u w:val="single"/>
          </w:rPr>
          <w:t>Table of Contents</w:t>
        </w:r>
      </w:hyperlink>
    </w:p>
    <w:tbl>
      <w:tblPr>
        <w:tblW w:w="6374" w:type="dxa"/>
        <w:jc w:val="left"/>
        <w:tblInd w:w="0" w:type="dxa"/>
        <w:tblLayout w:type="fixed"/>
        <w:tblCellMar>
          <w:top w:w="28" w:type="dxa"/>
          <w:left w:w="28" w:type="dxa"/>
          <w:bottom w:w="28" w:type="dxa"/>
          <w:right w:w="28" w:type="dxa"/>
        </w:tblCellMar>
      </w:tblPr>
      <w:tblGrid>
        <w:gridCol w:w="2038"/>
        <w:gridCol w:w="1793"/>
        <w:gridCol w:w="2543"/>
      </w:tblGrid>
      <w:tr>
        <w:trPr/>
        <w:tc>
          <w:tcPr>
            <w:tcW w:w="203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88" w:before="200" w:after="2"/>
              <w:jc w:val="center"/>
              <w:rPr>
                <w:rFonts w:ascii="Times New Roman;serif" w:hAnsi="Times New Roman;serif"/>
                <w:b/>
                <w:color w:val="000000"/>
                <w:sz w:val="20"/>
              </w:rPr>
            </w:pPr>
            <w:r>
              <w:rPr>
                <w:rFonts w:ascii="Times New Roman;serif" w:hAnsi="Times New Roman;serif"/>
                <w:b/>
                <w:color w:val="000000"/>
                <w:sz w:val="20"/>
              </w:rPr>
              <w:t>VERANO HOLDINGS CORP.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Interim Condensed Consolidated Financial Statements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in Thousands except shares and per share amounts)</w:t>
            </w:r>
          </w:p>
        </w:tc>
      </w:tr>
      <w:tr>
        <w:trPr/>
        <w:tc>
          <w:tcPr>
            <w:tcW w:w="6374"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63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13.LOYALTY OBLIGATIONS</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customer loyalty programs where retail customers accumulate points for each dollar of spending, net of tax. These points are recorded as a contractual liability until customers redeem their points for discounts on eligible products as part of an in-store sales transaction. In addition, the Company records a performance obligation as a reduction of revenue based on the estimated probability of point obligation incurred.</w:t>
      </w:r>
    </w:p>
    <w:p>
      <w:pPr>
        <w:pStyle w:val="TextBody"/>
        <w:bidi w:val="0"/>
        <w:spacing w:lineRule="auto" w:line="288" w:before="240" w:after="283"/>
        <w:jc w:val="both"/>
        <w:rPr/>
      </w:pPr>
      <w:r>
        <w:rPr>
          <w:rFonts w:ascii="Times New Roman;serif" w:hAnsi="Times New Roman;serif"/>
          <w:b w:val="false"/>
          <w:color w:val="000000"/>
          <w:sz w:val="20"/>
        </w:rPr>
        <w:t>The Company’s loyalty programs have a calculated standalone selling price that ranges between $0.03</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and $0.06</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per loyalty point. Upon redemption, the loyalty programs’ obligation is relieved, and the offset is recorded as revenue. The Company estimates that up to 20% of points will not be redeemed (breakage) prior to their six-month expiration dates. The Company continues to evaluate breakage and redemption values to determine the standalone selling price. </w:t>
      </w:r>
    </w:p>
    <w:p>
      <w:pPr>
        <w:pStyle w:val="TextBody"/>
        <w:bidi w:val="0"/>
        <w:spacing w:lineRule="auto" w:line="288" w:before="240" w:after="283"/>
        <w:jc w:val="both"/>
        <w:rPr/>
      </w:pPr>
      <w:r>
        <w:rPr>
          <w:rFonts w:ascii="Times New Roman;serif" w:hAnsi="Times New Roman;serif"/>
          <w:b w:val="false"/>
          <w:color w:val="000000"/>
          <w:sz w:val="20"/>
        </w:rPr>
        <w:t>As of June 30, 2026, there were approximately 145 million</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points outstanding with an approximate value of $4,913. As of December 31, 2025, there were approximately 228 million</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points outstanding with an approximate value of $7,513. Such balances are included in Accrued Liabilities on the Company's Condensed Consolidated Balance Sheets. </w:t>
      </w:r>
    </w:p>
    <w:tbl>
      <w:tblPr>
        <w:tblW w:w="2819" w:type="dxa"/>
        <w:jc w:val="left"/>
        <w:tblInd w:w="0" w:type="dxa"/>
        <w:tblLayout w:type="fixed"/>
        <w:tblCellMar>
          <w:top w:w="28" w:type="dxa"/>
          <w:left w:w="28" w:type="dxa"/>
          <w:bottom w:w="28" w:type="dxa"/>
          <w:right w:w="28" w:type="dxa"/>
        </w:tblCellMar>
      </w:tblPr>
      <w:tblGrid>
        <w:gridCol w:w="901"/>
        <w:gridCol w:w="794"/>
        <w:gridCol w:w="1124"/>
      </w:tblGrid>
      <w:tr>
        <w:trPr/>
        <w:tc>
          <w:tcPr>
            <w:tcW w:w="90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Such amount not in Thousands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200" w:after="2"/>
        <w:jc w:val="both"/>
        <w:rPr/>
      </w:pPr>
      <w:hyperlink w:anchor="i4eefff2545794af2a9cb746809773a65_7">
        <w:r>
          <w:rPr>
            <w:rStyle w:val="InternetLink"/>
            <w:rFonts w:ascii="Times New Roman;serif" w:hAnsi="Times New Roman;serif"/>
            <w:b w:val="false"/>
            <w:color w:val="0000FF"/>
            <w:sz w:val="20"/>
            <w:u w:val="single"/>
          </w:rPr>
          <w:t>Table of Contents</w:t>
        </w:r>
      </w:hyperlink>
    </w:p>
    <w:tbl>
      <w:tblPr>
        <w:tblW w:w="6374" w:type="dxa"/>
        <w:jc w:val="left"/>
        <w:tblInd w:w="0" w:type="dxa"/>
        <w:tblLayout w:type="fixed"/>
        <w:tblCellMar>
          <w:top w:w="28" w:type="dxa"/>
          <w:left w:w="28" w:type="dxa"/>
          <w:bottom w:w="28" w:type="dxa"/>
          <w:right w:w="28" w:type="dxa"/>
        </w:tblCellMar>
      </w:tblPr>
      <w:tblGrid>
        <w:gridCol w:w="2038"/>
        <w:gridCol w:w="1793"/>
        <w:gridCol w:w="2543"/>
      </w:tblGrid>
      <w:tr>
        <w:trPr/>
        <w:tc>
          <w:tcPr>
            <w:tcW w:w="203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88" w:before="200" w:after="2"/>
              <w:jc w:val="center"/>
              <w:rPr>
                <w:rFonts w:ascii="Times New Roman;serif" w:hAnsi="Times New Roman;serif"/>
                <w:b/>
                <w:color w:val="000000"/>
                <w:sz w:val="20"/>
              </w:rPr>
            </w:pPr>
            <w:r>
              <w:rPr>
                <w:rFonts w:ascii="Times New Roman;serif" w:hAnsi="Times New Roman;serif"/>
                <w:b/>
                <w:color w:val="000000"/>
                <w:sz w:val="20"/>
              </w:rPr>
              <w:t>VERANO HOLDINGS CORP.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Interim Condensed Consolidated Financial Statements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in Thousands except shares and per share amounts)</w:t>
            </w:r>
          </w:p>
        </w:tc>
      </w:tr>
      <w:tr>
        <w:trPr/>
        <w:tc>
          <w:tcPr>
            <w:tcW w:w="6374"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63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14.CONSOLIDATION</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ASC 810, the Company consolidates through the variable interest entity (“VIE”) model. The following table presents the summarized financial information about the Company’s consolidated VIEs, which are included in the Company's Condensed Consolidated Balance Sheets as of June 30, 2026 and December 31, 2025.</w:t>
      </w:r>
    </w:p>
    <w:tbl>
      <w:tblPr>
        <w:tblW w:w="6363" w:type="dxa"/>
        <w:jc w:val="left"/>
        <w:tblInd w:w="0" w:type="dxa"/>
        <w:tblLayout w:type="fixed"/>
        <w:tblCellMar>
          <w:top w:w="28" w:type="dxa"/>
          <w:left w:w="28" w:type="dxa"/>
          <w:bottom w:w="28" w:type="dxa"/>
          <w:right w:w="28" w:type="dxa"/>
        </w:tblCellMar>
      </w:tblPr>
      <w:tblGrid>
        <w:gridCol w:w="1372"/>
        <w:gridCol w:w="1207"/>
        <w:gridCol w:w="1216"/>
        <w:gridCol w:w="211"/>
        <w:gridCol w:w="616"/>
        <w:gridCol w:w="109"/>
        <w:gridCol w:w="109"/>
        <w:gridCol w:w="109"/>
        <w:gridCol w:w="109"/>
        <w:gridCol w:w="280"/>
        <w:gridCol w:w="819"/>
        <w:gridCol w:w="206"/>
      </w:tblGrid>
      <w:tr>
        <w:trPr/>
        <w:tc>
          <w:tcPr>
            <w:tcW w:w="1372"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7,235 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29,803 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41,301 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6,538 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Equity attributable to Verano Holdings Corp.</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(9,024)</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(1,777)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Consolidated Variable Interest Entities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Consolidated VIEs occur when (a) the Company closes an acquisition while the state has not finalized the transfer of the cannabis license, (b) the Company owns an equity interest in a joint venture, which it exercises control over or (c) the Company has an option to acquire a cannabis license together with other contractual rights related thereto.</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Consolidation occurs on the effective date of the purchase agreement, or in the case of joint venture VIEs, on the effective date of a limited liability company agreement governing the applicable joint venture, and management services agreement, consulting agreement, licensing agreement, or combination thereof (each a “Management Services Agreement”). Generally, the Management Services Agreement grants the management company, Verano, the ability to make business operating decisions, manage and staff employees, determine product mix, and the authority to direct allocation of cash. Generally, the Management Services Agreement or the limited liability company agreement also allows Verano to limit distributions of the entity at Verano’s discretion. Certain states may limit the distribution or transfer of cash until license transfer.</w:t>
      </w:r>
    </w:p>
    <w:p>
      <w:pPr>
        <w:pStyle w:val="TextBody"/>
        <w:bidi w:val="0"/>
        <w:spacing w:lineRule="auto" w:line="288" w:before="200" w:after="2"/>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financing arrangements with certain VIEs to provide funding for potential capital expenditures including, but not limited to, the construction of dispensaries and other facilities.</w:t>
      </w:r>
    </w:p>
    <w:p>
      <w:pPr>
        <w:pStyle w:val="TextBody"/>
        <w:bidi w:val="0"/>
        <w:spacing w:lineRule="auto" w:line="288" w:before="200" w:after="2"/>
        <w:jc w:val="both"/>
        <w:rPr>
          <w:rFonts w:ascii="Times New Roman;serif" w:hAnsi="Times New Roman;serif"/>
          <w:b w:val="false"/>
          <w:color w:val="000000"/>
          <w:sz w:val="20"/>
        </w:rPr>
      </w:pPr>
      <w:r>
        <w:rPr>
          <w:rFonts w:ascii="Times New Roman;serif" w:hAnsi="Times New Roman;serif"/>
          <w:b w:val="false"/>
          <w:color w:val="000000"/>
          <w:sz w:val="20"/>
        </w:rPr>
        <w:t>The Company applies ASC 810-10-15 to determine control of the legal entity. With respect to VIEs acquired via acquisition, the purchase agreements limit the sellers involvement in future operations and their risk of loss. With respect to joint venture VIEs, the limited liability company agreements limit the partners’ involvement in future operations and control over financial decisions, including distributions. In addition, Verano enters into a Management Services Agreement with the legal entity that grants the Company strategic decision-making authority of the business operations.</w:t>
      </w:r>
    </w:p>
    <w:p>
      <w:pPr>
        <w:pStyle w:val="TextBody"/>
        <w:bidi w:val="0"/>
        <w:spacing w:lineRule="auto" w:line="288" w:before="200" w:after="2"/>
        <w:jc w:val="both"/>
        <w:rPr>
          <w:rFonts w:ascii="Times New Roman;serif" w:hAnsi="Times New Roman;serif"/>
          <w:b w:val="false"/>
          <w:color w:val="000000"/>
          <w:sz w:val="20"/>
        </w:rPr>
      </w:pPr>
      <w:r>
        <w:rPr>
          <w:rFonts w:ascii="Times New Roman;serif" w:hAnsi="Times New Roman;serif"/>
          <w:b w:val="false"/>
          <w:color w:val="000000"/>
          <w:sz w:val="20"/>
        </w:rPr>
        <w:t>The Company is involved in all qualitative and quantitative aspects of each consolidated VIE, such as but not limited to, software choices, procurement, staffing and payroll, advertising, and use of cash flow. With respect to VIEs acquired via acquisition, the Company absorbs all risk of loss and receives expected future returns based on the purchase agreement and Management Services Agreement, resulting in Verano being the primary beneficiary.</w:t>
      </w:r>
    </w:p>
    <w:p>
      <w:pPr>
        <w:pStyle w:val="TextBody"/>
        <w:bidi w:val="0"/>
        <w:spacing w:lineRule="auto" w:line="288" w:before="200" w:after="2"/>
        <w:jc w:val="both"/>
        <w:rPr>
          <w:rFonts w:ascii="Times New Roman;serif" w:hAnsi="Times New Roman;serif"/>
          <w:b w:val="false"/>
          <w:color w:val="000000"/>
          <w:sz w:val="20"/>
        </w:rPr>
      </w:pPr>
      <w:r>
        <w:rPr>
          <w:rFonts w:ascii="Times New Roman;serif" w:hAnsi="Times New Roman;serif"/>
          <w:b w:val="false"/>
          <w:color w:val="000000"/>
          <w:sz w:val="20"/>
        </w:rPr>
        <w:t>Verano does not fully own all entities consolidated under ASC 810 and records a non-controlling interest for such non-owned portion in the Unaudited Interim Condensed Consolidated Financial Statements. The income of less-than-wholly owned entities is attributed to non-controlling interest and Verano based on the contractual arrangements between the other interest holders and Verano, or, in the absence of contractual arrangements, on a pro rata basis based on relative ownership percentage. As an exception to the aforementioned attribution method, during periods in which a less-than-wholly owned entity records an accumulated deficit, the net losses of the less-than-wholly owned subsidiary are, generally, attributed entirely to Verano.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200" w:after="2"/>
        <w:jc w:val="both"/>
        <w:rPr/>
      </w:pPr>
      <w:hyperlink w:anchor="i4eefff2545794af2a9cb746809773a65_7">
        <w:r>
          <w:rPr>
            <w:rStyle w:val="InternetLink"/>
            <w:rFonts w:ascii="Times New Roman;serif" w:hAnsi="Times New Roman;serif"/>
            <w:b w:val="false"/>
            <w:color w:val="0000FF"/>
            <w:sz w:val="20"/>
            <w:u w:val="single"/>
          </w:rPr>
          <w:t>Table of Contents</w:t>
        </w:r>
      </w:hyperlink>
    </w:p>
    <w:tbl>
      <w:tblPr>
        <w:tblW w:w="6374" w:type="dxa"/>
        <w:jc w:val="left"/>
        <w:tblInd w:w="0" w:type="dxa"/>
        <w:tblLayout w:type="fixed"/>
        <w:tblCellMar>
          <w:top w:w="28" w:type="dxa"/>
          <w:left w:w="28" w:type="dxa"/>
          <w:bottom w:w="28" w:type="dxa"/>
          <w:right w:w="28" w:type="dxa"/>
        </w:tblCellMar>
      </w:tblPr>
      <w:tblGrid>
        <w:gridCol w:w="2038"/>
        <w:gridCol w:w="1793"/>
        <w:gridCol w:w="2543"/>
      </w:tblGrid>
      <w:tr>
        <w:trPr/>
        <w:tc>
          <w:tcPr>
            <w:tcW w:w="203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88" w:before="200" w:after="2"/>
              <w:jc w:val="center"/>
              <w:rPr>
                <w:rFonts w:ascii="Times New Roman;serif" w:hAnsi="Times New Roman;serif"/>
                <w:b/>
                <w:color w:val="000000"/>
                <w:sz w:val="20"/>
              </w:rPr>
            </w:pPr>
            <w:r>
              <w:rPr>
                <w:rFonts w:ascii="Times New Roman;serif" w:hAnsi="Times New Roman;serif"/>
                <w:b/>
                <w:color w:val="000000"/>
                <w:sz w:val="20"/>
              </w:rPr>
              <w:t>VERANO HOLDINGS CORP.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Interim Condensed Consolidated Financial Statements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in Thousands except shares and per share amounts)</w:t>
            </w:r>
          </w:p>
        </w:tc>
      </w:tr>
      <w:tr>
        <w:trPr/>
        <w:tc>
          <w:tcPr>
            <w:tcW w:w="6374"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63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15.FAIR VALUE MEASUREMENTS</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applies fair value accounting for all financial assets and liabilities that are recognized or disclosed at fair value in the Unaudited Interim Condensed Consolidated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lineRule="auto" w:line="288" w:before="240" w:after="283"/>
        <w:jc w:val="both"/>
        <w:rPr/>
      </w:pPr>
      <w:r>
        <w:rPr>
          <w:rFonts w:ascii="Times New Roman;serif" w:hAnsi="Times New Roman;serif"/>
          <w:b w:val="false"/>
          <w:i/>
          <w:color w:val="000000"/>
          <w:sz w:val="20"/>
        </w:rPr>
        <w:t>Level 1</w:t>
      </w:r>
      <w:r>
        <w:rPr>
          <w:color w:val="000000"/>
        </w:rPr>
        <w:t xml:space="preserve"> – </w:t>
      </w:r>
      <w:r>
        <w:rPr>
          <w:rFonts w:ascii="Times New Roman;serif" w:hAnsi="Times New Roman;serif"/>
          <w:b w:val="false"/>
          <w:color w:val="000000"/>
          <w:sz w:val="20"/>
        </w:rPr>
        <w:t>Unadjusted quoted prices in active markets for identical assets or liabilities;</w:t>
      </w:r>
    </w:p>
    <w:p>
      <w:pPr>
        <w:pStyle w:val="TextBody"/>
        <w:bidi w:val="0"/>
        <w:spacing w:lineRule="auto" w:line="288" w:before="240" w:after="283"/>
        <w:jc w:val="both"/>
        <w:rPr/>
      </w:pPr>
      <w:r>
        <w:rPr>
          <w:rFonts w:ascii="Times New Roman;serif" w:hAnsi="Times New Roman;serif"/>
          <w:b w:val="false"/>
          <w:i/>
          <w:color w:val="000000"/>
          <w:sz w:val="20"/>
        </w:rPr>
        <w:t>Level 2</w:t>
      </w:r>
      <w:r>
        <w:rPr>
          <w:color w:val="000000"/>
        </w:rPr>
        <w:t xml:space="preserve"> – </w:t>
      </w:r>
      <w:r>
        <w:rPr>
          <w:rFonts w:ascii="Times New Roman;serif" w:hAnsi="Times New Roman;serif"/>
          <w:b w:val="false"/>
          <w:color w:val="000000"/>
          <w:sz w:val="20"/>
        </w:rPr>
        <w:t>Inputs other than quoted prices that are observable for the asset or liability, either directly or indirectly; and</w:t>
      </w:r>
    </w:p>
    <w:p>
      <w:pPr>
        <w:pStyle w:val="TextBody"/>
        <w:bidi w:val="0"/>
        <w:spacing w:lineRule="auto" w:line="288" w:before="240" w:after="283"/>
        <w:jc w:val="both"/>
        <w:rPr/>
      </w:pPr>
      <w:r>
        <w:rPr>
          <w:rFonts w:ascii="Times New Roman;serif" w:hAnsi="Times New Roman;serif"/>
          <w:b w:val="false"/>
          <w:i/>
          <w:color w:val="000000"/>
          <w:sz w:val="20"/>
        </w:rPr>
        <w:t>Level 3</w:t>
      </w:r>
      <w:r>
        <w:rPr>
          <w:color w:val="000000"/>
        </w:rPr>
        <w:t xml:space="preserve"> – </w:t>
      </w:r>
      <w:r>
        <w:rPr>
          <w:rFonts w:ascii="Times New Roman;serif" w:hAnsi="Times New Roman;serif"/>
          <w:b w:val="false"/>
          <w:color w:val="000000"/>
          <w:sz w:val="20"/>
        </w:rPr>
        <w:t>Inputs for the asset or liability that are not based on observable market data.</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Financial Instruments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financial instruments consist of cash and cash equivalents, certificates of deposit, accounts receivable, accounts payable, accrued liabilities, debt, and acquisition consideration payable.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Company’s long-term debt (which primarily consists of a credit facility and mortgage loans), for which there were no quoted market prices of active trading markets, it was not practicable to estimate the fair value of these financial instruments. The carrying amount of debt as of June 30, 2026 and December 31, 2025 was $392,612 and $399,735, respectively, which included $10,548 and $7,852, respectively, of short-term debt due within one year.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Financial instruments recorded at fair value are classified using a fair value hierarchy that reflects the significance of the inputs to fair value measurements. The fair value of the Company’s financial instruments associated with each of the three levels of the hierarchy are:</w:t>
      </w:r>
    </w:p>
    <w:tbl>
      <w:tblPr>
        <w:tblW w:w="7619" w:type="dxa"/>
        <w:jc w:val="left"/>
        <w:tblInd w:w="0" w:type="dxa"/>
        <w:tblLayout w:type="fixed"/>
        <w:tblCellMar>
          <w:top w:w="28" w:type="dxa"/>
          <w:left w:w="28" w:type="dxa"/>
          <w:bottom w:w="28" w:type="dxa"/>
          <w:right w:w="28" w:type="dxa"/>
        </w:tblCellMar>
      </w:tblPr>
      <w:tblGrid>
        <w:gridCol w:w="1075"/>
        <w:gridCol w:w="946"/>
        <w:gridCol w:w="948"/>
        <w:gridCol w:w="211"/>
        <w:gridCol w:w="721"/>
        <w:gridCol w:w="109"/>
        <w:gridCol w:w="109"/>
        <w:gridCol w:w="109"/>
        <w:gridCol w:w="109"/>
        <w:gridCol w:w="211"/>
        <w:gridCol w:w="466"/>
        <w:gridCol w:w="109"/>
        <w:gridCol w:w="109"/>
        <w:gridCol w:w="109"/>
        <w:gridCol w:w="109"/>
        <w:gridCol w:w="211"/>
        <w:gridCol w:w="436"/>
        <w:gridCol w:w="109"/>
        <w:gridCol w:w="109"/>
        <w:gridCol w:w="109"/>
        <w:gridCol w:w="109"/>
        <w:gridCol w:w="211"/>
        <w:gridCol w:w="721"/>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85,195 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85,195 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Acquisition Consideration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85,195 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85,695 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72" w:type="dxa"/>
        <w:jc w:val="left"/>
        <w:tblInd w:w="0" w:type="dxa"/>
        <w:tblLayout w:type="fixed"/>
        <w:tblCellMar>
          <w:top w:w="28" w:type="dxa"/>
          <w:left w:w="28" w:type="dxa"/>
          <w:bottom w:w="28" w:type="dxa"/>
          <w:right w:w="28" w:type="dxa"/>
        </w:tblCellMar>
      </w:tblPr>
      <w:tblGrid>
        <w:gridCol w:w="1075"/>
        <w:gridCol w:w="946"/>
        <w:gridCol w:w="948"/>
        <w:gridCol w:w="211"/>
        <w:gridCol w:w="721"/>
        <w:gridCol w:w="109"/>
        <w:gridCol w:w="109"/>
        <w:gridCol w:w="109"/>
        <w:gridCol w:w="109"/>
        <w:gridCol w:w="213"/>
        <w:gridCol w:w="411"/>
        <w:gridCol w:w="110"/>
        <w:gridCol w:w="109"/>
        <w:gridCol w:w="109"/>
        <w:gridCol w:w="109"/>
        <w:gridCol w:w="211"/>
        <w:gridCol w:w="541"/>
        <w:gridCol w:w="109"/>
        <w:gridCol w:w="109"/>
        <w:gridCol w:w="109"/>
        <w:gridCol w:w="109"/>
        <w:gridCol w:w="211"/>
        <w:gridCol w:w="721"/>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82,724 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82,724 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Acquisition Consideration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82,724 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82,454 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200" w:after="2"/>
        <w:jc w:val="both"/>
        <w:rPr/>
      </w:pPr>
      <w:hyperlink w:anchor="i4eefff2545794af2a9cb746809773a65_7">
        <w:r>
          <w:rPr>
            <w:rStyle w:val="InternetLink"/>
            <w:rFonts w:ascii="Times New Roman;serif" w:hAnsi="Times New Roman;serif"/>
            <w:b w:val="false"/>
            <w:color w:val="0000FF"/>
            <w:sz w:val="20"/>
            <w:u w:val="single"/>
          </w:rPr>
          <w:t>Table of Contents</w:t>
        </w:r>
      </w:hyperlink>
    </w:p>
    <w:tbl>
      <w:tblPr>
        <w:tblW w:w="6374" w:type="dxa"/>
        <w:jc w:val="left"/>
        <w:tblInd w:w="0" w:type="dxa"/>
        <w:tblLayout w:type="fixed"/>
        <w:tblCellMar>
          <w:top w:w="28" w:type="dxa"/>
          <w:left w:w="28" w:type="dxa"/>
          <w:bottom w:w="28" w:type="dxa"/>
          <w:right w:w="28" w:type="dxa"/>
        </w:tblCellMar>
      </w:tblPr>
      <w:tblGrid>
        <w:gridCol w:w="2038"/>
        <w:gridCol w:w="1793"/>
        <w:gridCol w:w="2543"/>
      </w:tblGrid>
      <w:tr>
        <w:trPr/>
        <w:tc>
          <w:tcPr>
            <w:tcW w:w="203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88" w:before="200" w:after="2"/>
              <w:jc w:val="center"/>
              <w:rPr>
                <w:rFonts w:ascii="Times New Roman;serif" w:hAnsi="Times New Roman;serif"/>
                <w:b/>
                <w:color w:val="000000"/>
                <w:sz w:val="20"/>
              </w:rPr>
            </w:pPr>
            <w:r>
              <w:rPr>
                <w:rFonts w:ascii="Times New Roman;serif" w:hAnsi="Times New Roman;serif"/>
                <w:b/>
                <w:color w:val="000000"/>
                <w:sz w:val="20"/>
              </w:rPr>
              <w:t>VERANO HOLDINGS CORP.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Interim Condensed Consolidated Financial Statements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in Thousands except shares and per share amounts)</w:t>
            </w:r>
          </w:p>
        </w:tc>
      </w:tr>
      <w:tr>
        <w:trPr/>
        <w:tc>
          <w:tcPr>
            <w:tcW w:w="6374"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63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16.RELATED PARTY TRANSACTIONS</w:t>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2026 Credit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George Archos, the Chairman, Chief Executive Officer and President of the Company, funded, through an affiliated entity, $10,000 of the amount provided by a 2026 Lender. As a result of this participation, Mr. Archos will receive his pro rata share of all interest and principal payments made by the Company to such 2026 Lender under the 2026 Credit Agreement.</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Leases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leases real property for a retail dispensary in Aurora, Illinois from 740 Rte. 59, LLC (“740”). Pursuant to the lease agreement, the Company made payments totaling $46 and $46 during each of the three months ended June 30, 2026 and 2025, respectively, and $92 and $92 during each of the six months ended June 30, 2026 and 2025, respectively. Payments consist of base rent, real estate taxes and customary tenant charges. George Archos, the Company's Chair, Chief Executive Officer and President, holds an indirect 50% ownership interest in 740. Pursuant to the lease agreement, the initial term expires on June 30, 2030.</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leases real property for a retail dispensary in Lombard, Illinois from 783 Butterfield LLC (“783”). Pursuant to the lease agreement, the Company made payments to 783 totaling $94 and $93 during the three months ended June 30, 2026 and 2025, respectively, and $188 and $185 during the six months ended June 30, 2026 and 2025, respectively. Payments consist of base rent, real estate taxes and customary tenant charges. George Archos holds a 50% indirect ownership interest in 783. Pursuant to the lease agreement, the initial term expires on January 11, 2031.</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leases real property for a retail dispensary in Fernandina Beach, Florida from Fernandina Beach Management, LLC (“Fernandina Beach”). The lease agreement began on May 5, 2026. Pursuant to the lease agreement, the Company did not make payments to Fernandina Beach during the three and six months ended June 30, 2026. Payments will consist of base rent, real estate taxes and customary tenant charges. George Archos holds a 33% indirect ownership interest in Fernandina Beach. Pursuant to the lease agreement, the initial term expires on November 30, 2031.</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Sweed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High Tech Holdings, Inc. (“Sweed”) provides point of sale software systems to retail cannabis businesses under the names “Sweed” and “Leaftrade.” Sweed provides these software systems to the Company. For these services the Company paid Sweed $2,094 during the six months ended June 30, 2026 and $1,696 during the six months ended June 30, 2025. GP Management Group, LLC, an entity beneficially owned and controlled by George Archos, held an ownership interest of less than 1% in Sweed as of June 30, 2026.</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John Tipton Consulting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March 16, 2026, John Tipton retired from his position as President of the Southern Region of the Company, and from all his positions as an officer, manager and employee of the Company and its subsidiaries. Mr. Tipton remains a member of the Board. Upon his retirement, the Company entered into a consulting agreement with Mr. Tipton as of March 16, 2026 (the “Consulting Agreement”), pursuant to which Mr. Tipton provides consulting and advisory services to the Company and its subsidiaries with respect to the Company’s operations nationally and in the State of Florida. The term of the Consulting Agreement expires on March 16, 2027, which term may be extended by mutual agreement of the Company and Mr. Tipton. The Consulting Agreement contains customary representations, warranties, covenants and confidentiality provisions. As an inducement and consideration for Mr. Tipton entering into the Consulting Agreement and in recognition of his future services under the Consulting Agreement, Mr. Tipton received 181,818 RSUs under the Plan, which RSUs vested into an equal number of shares of Common Stock. Mr. Tipton received a cash payment of $100 and is entitled to $35 per month during the term of the Consulting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200" w:after="2"/>
        <w:jc w:val="both"/>
        <w:rPr/>
      </w:pPr>
      <w:hyperlink w:anchor="i4eefff2545794af2a9cb746809773a65_7">
        <w:r>
          <w:rPr>
            <w:rStyle w:val="InternetLink"/>
            <w:rFonts w:ascii="Times New Roman;serif" w:hAnsi="Times New Roman;serif"/>
            <w:b w:val="false"/>
            <w:color w:val="0000FF"/>
            <w:sz w:val="20"/>
            <w:u w:val="single"/>
          </w:rPr>
          <w:t>Table of Contents</w:t>
        </w:r>
      </w:hyperlink>
    </w:p>
    <w:tbl>
      <w:tblPr>
        <w:tblW w:w="6374" w:type="dxa"/>
        <w:jc w:val="left"/>
        <w:tblInd w:w="0" w:type="dxa"/>
        <w:tblLayout w:type="fixed"/>
        <w:tblCellMar>
          <w:top w:w="28" w:type="dxa"/>
          <w:left w:w="28" w:type="dxa"/>
          <w:bottom w:w="28" w:type="dxa"/>
          <w:right w:w="28" w:type="dxa"/>
        </w:tblCellMar>
      </w:tblPr>
      <w:tblGrid>
        <w:gridCol w:w="2038"/>
        <w:gridCol w:w="1793"/>
        <w:gridCol w:w="2543"/>
      </w:tblGrid>
      <w:tr>
        <w:trPr/>
        <w:tc>
          <w:tcPr>
            <w:tcW w:w="203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88" w:before="200" w:after="2"/>
              <w:jc w:val="center"/>
              <w:rPr>
                <w:rFonts w:ascii="Times New Roman;serif" w:hAnsi="Times New Roman;serif"/>
                <w:b/>
                <w:color w:val="000000"/>
                <w:sz w:val="20"/>
              </w:rPr>
            </w:pPr>
            <w:r>
              <w:rPr>
                <w:rFonts w:ascii="Times New Roman;serif" w:hAnsi="Times New Roman;serif"/>
                <w:b/>
                <w:color w:val="000000"/>
                <w:sz w:val="20"/>
              </w:rPr>
              <w:t>VERANO HOLDINGS CORP.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Interim Condensed Consolidated Financial Statements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in Thousands except shares and per share amounts)</w:t>
            </w:r>
          </w:p>
        </w:tc>
      </w:tr>
      <w:tr>
        <w:trPr/>
        <w:tc>
          <w:tcPr>
            <w:tcW w:w="6374"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63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17.SUBSEQUENT EVENTS</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evaluated subsequent events through the date of issuance of this Form 10-Q and has determined there have been no subsequent events that have occurred during such period that would require adjustments to its disclosures in the Unaudited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200" w:after="283"/>
        <w:jc w:val="both"/>
        <w:rPr/>
      </w:pPr>
      <w:hyperlink w:anchor="i4eefff2545794af2a9cb746809773a6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jc w:val="both"/>
        <w:rPr/>
      </w:pPr>
      <w:r>
        <w:rPr>
          <w:rFonts w:ascii="Times New Roman;serif" w:hAnsi="Times New Roman;serif"/>
          <w:b w:val="false"/>
          <w:i/>
          <w:color w:val="000000"/>
          <w:sz w:val="20"/>
        </w:rPr>
        <w:t>This management discussion and analysis (this “</w:t>
      </w:r>
      <w:r>
        <w:rPr>
          <w:rFonts w:ascii="Times New Roman;serif" w:hAnsi="Times New Roman;serif"/>
          <w:b/>
          <w:i/>
          <w:color w:val="000000"/>
          <w:sz w:val="20"/>
        </w:rPr>
        <w:t>MD&amp;A</w:t>
      </w:r>
      <w:r>
        <w:rPr>
          <w:color w:val="000000"/>
        </w:rPr>
        <w:t>”</w:t>
      </w:r>
      <w:r>
        <w:rPr>
          <w:rFonts w:ascii="Times New Roman;serif" w:hAnsi="Times New Roman;serif"/>
          <w:b w:val="false"/>
          <w:i/>
          <w:color w:val="000000"/>
          <w:sz w:val="20"/>
        </w:rPr>
        <w:t>) of the financial condition and results of operations of the Company is for the three and six months ended June 30, 2026 and June 30, 2025. It is supplemental to, and should be read in conjunction with, the Company’s Unaudited Interim Condensed Consolidated Financial Statements and the accompanying notes for the three and six months ended June 30, 2026 and with the Company’s Audited Consolidated Financial Statements and the accompanying notes for the years ended December 31, 2025 and 2024 included in the Form 10-K. The financial statements referenced in this MD&amp;A are prepared in accordance with GAAP. Financial information presented in this MD&amp;A is presented in United States dollars (“</w:t>
      </w:r>
      <w:r>
        <w:rPr>
          <w:rFonts w:ascii="Times New Roman;serif" w:hAnsi="Times New Roman;serif"/>
          <w:b/>
          <w:i/>
          <w:color w:val="000000"/>
          <w:sz w:val="20"/>
        </w:rPr>
        <w:t>$</w:t>
      </w:r>
      <w:r>
        <w:rPr>
          <w:color w:val="000000"/>
        </w:rPr>
        <w:t xml:space="preserve">” </w:t>
      </w:r>
      <w:r>
        <w:rPr>
          <w:rFonts w:ascii="Times New Roman;serif" w:hAnsi="Times New Roman;serif"/>
          <w:b w:val="false"/>
          <w:i/>
          <w:color w:val="000000"/>
          <w:sz w:val="20"/>
        </w:rPr>
        <w:t>or “</w:t>
      </w:r>
      <w:r>
        <w:rPr>
          <w:rFonts w:ascii="Times New Roman;serif" w:hAnsi="Times New Roman;serif"/>
          <w:b/>
          <w:i/>
          <w:color w:val="000000"/>
          <w:sz w:val="20"/>
        </w:rPr>
        <w:t>US$</w:t>
      </w:r>
      <w:r>
        <w:rPr>
          <w:color w:val="000000"/>
        </w:rPr>
        <w:t>”</w:t>
      </w:r>
      <w:r>
        <w:rPr>
          <w:rFonts w:ascii="Times New Roman;serif" w:hAnsi="Times New Roman;serif"/>
          <w:b w:val="false"/>
          <w:i/>
          <w:color w:val="000000"/>
          <w:sz w:val="20"/>
        </w:rPr>
        <w:t>) and expressed in thousands, unless otherwise indicated. This MD&amp;A contains forward-looking statements that involve risks and uncertainties. Our actual results could differ materially from those projected, forecasted, or expected in these forward-looking statements as a result of various factors, including, but not limited to, those discussed in the Form 10-K. See “Cautionary Statement Regarding Forward-Looking Statements” above, “Risk Factors” in Part II, Item 1A below and “Risk Factors” in the Form 10-K. The Company's management believes the assumptions underlying the Company’s financial statements and accompanying notes are reasonable. However, the Company’s financial statements and accompanying notes may not be an indication of the Company's financial condition and results of operations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 OF THE COMPANY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Verano Holdings Corp., a Nevada corporation (“Verano,” the “Company,” “we,” “us,” or “our”), one of the U.S. cannabis industry’s leading companies based on historical revenue, geographical scope and brand performance, is a vertically integrated, multi-state operator embracing a mission of saying Yes to plant progress and the bold exploration of cannabis. As an operator of licensed cannabis cultivation, processing, wholesale distribution and retail facilities, our goal is to support communal wellness by providing responsible access to regulated medical and adult use cannabis products. As of August 3, 2026, through our subsidiaries and affiliates we operate businesses in 13 states, including 163 retail dispensaries and 14 cultivation and processing facilities with over 1.1 million square feet of cultivation capacity. We produce a wide variety of cannabis products sold under our portfolio of consumer brands, including Savvy™, (the) Essence™, Swift Lifts™, HYPHEN™, Encore™, BITS™, Avexia™, MÜV™, CTPharma™, and Verano™. We also design, build and operate branded dispensaries operating under the Zen Leaf™ and MÜV™ retail banners, among others, that deliver a cannabis shopping experience in both medical and adult use markets.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Notwithstanding the permissive regulatory environment of medical, and in some cases, also adult use (i.e., recreational) cannabis, at the state level, it remains illegal under U.S. federal law to cultivate, manufacture, distribute, sell, or possess cannabis in the U.S. Because federal law prohibits transporting any federally restricted substance across state lines, cannabis cannot be transported across state lines. As a result of current federal law prohibitions, the U.S. cannabis industry is conducted on a state-by-state basis. To date, in the U.S. 40 states plus the District of Columbia and the U.S. territories of Puerto Rico, Guam, the Commonwealth of Northern Marina Islands, and the U.S. Virgin Islands have authorized comprehensive medical cannabis programs, 24 states plus the District of Columbia and the U.S. territories of Guam, the Commonwealth of Northern Mariana Islands, and the U.S. Virgin Islands have authorized comprehensive programs for medical and adult use (i.e. recreational) cannabis, and 8 states allow the use of low tetrahydrocannabinol and high cannabidiol products for specified medical uses. Verano operates within states where cannabis use, medical or both medical and adult use, has been approved by state and local regulatory bodies.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December 18, 2025, President Trump issued the Executive Order which directs federal agencies to expedite the process of rescheduling cannabis from a Schedule I to a Schedule III controlled substance under the CSA. Rescheduling cannabis to Schedule III would not legalize state sanctioned medical cultivation, manufacturing, distribution, sale or possession of medical or adult use cannabis in the U.S. However, it would lessen criminal penalties at the federal level and remove Section 280E tax considerations. The final effects of the Executive Order are dependent on other government actions. Despite such actions and the ongoing rule making process, there can be no guarantees that the rescheduling rule making process will continue on a certain timeline or that any rules will come out of the rule making process that will benefit the Company. The Executive Order, and rescheduling cannabis to Schedule III, alone, does not federally legalize adult use and would not federally authorize or approve state sanctioned medical programs. Cannabis would still be subject to the same FDA drug approval process as all other substances, and sales outside of FDA approval, would still be criminal at the federal level.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200" w:after="283"/>
        <w:jc w:val="both"/>
        <w:rPr/>
      </w:pPr>
      <w:hyperlink w:anchor="i4eefff2545794af2a9cb746809773a6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
        <w:jc w:val="both"/>
        <w:rPr>
          <w:rFonts w:ascii="Times New Roman;serif" w:hAnsi="Times New Roman;serif"/>
          <w:b w:val="false"/>
          <w:color w:val="000000"/>
          <w:sz w:val="20"/>
        </w:rPr>
      </w:pPr>
      <w:r>
        <w:rPr>
          <w:rFonts w:ascii="Times New Roman;serif" w:hAnsi="Times New Roman;serif"/>
          <w:b w:val="false"/>
          <w:color w:val="000000"/>
          <w:sz w:val="20"/>
        </w:rPr>
        <w:t>On April 23, 2026, the Justice Department in accordance with the Executive Order issued the “April Final Order” reclassifying medical cannabis from Schedule I to Schedule III under the CSA. This action, taken pursuant to the Attorney General’s Authority under the CSA to schedule substances in compliance with the Single Convention on Narcotic Drugs, 1961, applies only to state licensed and approved medical cannabis; all other forms of cannabis including adult use remains classified as Schedule I. The April Final Order, effective as of April 26, 2026, provides an expedited registration process for state medical licensees and specifically states that registered state medical licensees will no longer be subject to the constraints of Section 280E. Separately, the Attorney General filed notices withdrawing the pending hearing on the proposed rulemaking notice filed in 2024, and instituted a new hearing on the proposed rule which began on June 29, 2026 and concluded on July 15, 2026. This expedited hearing addressed rescheduling the plant in its entirety, outside of state sanctioned medical programs. The evidentiary hearing concluded on July 15, 2026, and initial briefings are due from the parties on August 17, 2026. To date, no schedule has been set for an issuance of a final order on the hearing. The IRS, in a press release, has indicated that, for Section 280E purposes, rescheduling will generally apply to the full taxable year that includes the effective date of the April Final Order, for activities no longer involving Schedule I or II substances. However, formal guidance from the IRS remains pending. The ultimate impact of the April Final Order and the hearing — including the resolution of accrued uncertain tax positions, remains uncertain and is subject to ongoing evaluation due to the complexity of the regulatory and tax environment. In May 2026, several petitions were filed challenging the April Final Order, along with a motion to stay the April Final Order. The outcome of this litigation and its impact on the April Final Order and the hearing are uncertain. Verano remains subject to federal laws, including those prohibiting all other forms of cannabis, including adult use. There can be no guarantees that the rescheduling of adult use cannabis will continue on a certain timeline or at all or that the outcome will benefit the Company.</w:t>
      </w:r>
    </w:p>
    <w:p>
      <w:pPr>
        <w:pStyle w:val="TextBody"/>
        <w:bidi w:val="0"/>
        <w:spacing w:lineRule="auto" w:line="288" w:before="240" w:after="2"/>
        <w:jc w:val="both"/>
        <w:rPr>
          <w:rFonts w:ascii="Times New Roman;serif" w:hAnsi="Times New Roman;serif"/>
          <w:b w:val="false"/>
          <w:color w:val="000000"/>
          <w:sz w:val="20"/>
        </w:rPr>
      </w:pPr>
      <w:r>
        <w:rPr>
          <w:rFonts w:ascii="Times New Roman;serif" w:hAnsi="Times New Roman;serif"/>
          <w:b w:val="false"/>
          <w:color w:val="000000"/>
          <w:sz w:val="20"/>
        </w:rPr>
        <w:t>Substantially all of the Company’s business, operating results and financial condition relate to U.S. cannabis-related activities. Our strategy is to vertically integrate as a single cohesive company in multiple states through the consolidation of seed-to-sale cultivating, manufacturing, distributing, and dispensing of cannabis brands and products at scale. Our cultivation, processing and distribution of cannabis consumer packaged goods are designed to support our retail dispensaries, as well as to develop and foster long term wholesale supply relationships with third-party retail operators. Our model includes establishing a diverse geographic footprint that allows us to adapt to changes in both industry and market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SELECTED RESULTS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presents selected financial data derived from the (i) Unaudited Interim Condensed Consolidated Financial Statements for the three and six months ended June 30, 2026 and 2025 and (ii) the Condensed Consolidated Balance Sheets as of June 30, 2026 and December 31, 2025, and should be read in conjunction with the Unaudited Interim Condensed Consolidated Financial Statements and accompanying notes presented in Item 1 of this Form 10-Q. The selected Unaudited Interim Condensed Consolidated financial information below may not be indicative of the Company's future performance. All shares of Common Stock, RSUs, stock options, share capital and per share information presented in this report have been retroactively adjusted, where applicable, to reflect the Reverse Stock Split.</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200" w:after="283"/>
        <w:jc w:val="both"/>
        <w:rPr/>
      </w:pPr>
      <w:hyperlink w:anchor="i4eefff2545794af2a9cb746809773a6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Three Months Ended June 30, 2026, as Compared to Three Months Ended June 30, 2025</w:t>
      </w:r>
    </w:p>
    <w:tbl>
      <w:tblPr>
        <w:tblW w:w="9534" w:type="dxa"/>
        <w:jc w:val="left"/>
        <w:tblInd w:w="0" w:type="dxa"/>
        <w:tblLayout w:type="fixed"/>
        <w:tblCellMar>
          <w:top w:w="28" w:type="dxa"/>
          <w:left w:w="28" w:type="dxa"/>
          <w:bottom w:w="28" w:type="dxa"/>
          <w:right w:w="28" w:type="dxa"/>
        </w:tblCellMar>
      </w:tblPr>
      <w:tblGrid>
        <w:gridCol w:w="1875"/>
        <w:gridCol w:w="1647"/>
        <w:gridCol w:w="1653"/>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1875"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r>
      <w:tr>
        <w:trPr/>
        <w:tc>
          <w:tcPr>
            <w:tcW w:w="517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5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Revenues, net of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217,918 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15,646 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99,699 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(13,285)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attributable to Verano Holdings Corp. &amp;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per share – basic &amp;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Revenues, net of discounts</w:t>
      </w:r>
    </w:p>
    <w:p>
      <w:pPr>
        <w:pStyle w:val="TextBody"/>
        <w:bidi w:val="0"/>
        <w:spacing w:lineRule="auto" w:line="288" w:before="240" w:after="2"/>
        <w:jc w:val="both"/>
        <w:rPr/>
      </w:pPr>
      <w:r>
        <w:rPr>
          <w:rFonts w:ascii="Times New Roman;serif" w:hAnsi="Times New Roman;serif"/>
          <w:b w:val="false"/>
          <w:color w:val="000000"/>
          <w:sz w:val="20"/>
        </w:rPr>
        <w:t xml:space="preserve">Revenues, net of discounts, for the three months ended June 30, 2026 was $217,918, an increase of $15,646 or 8%, compared to revenue of $202,272 for the three months ended June 30, 2025. The increase in revenue, net of discounts, was driven by strong new product momentum, including the continued expansion of our HYPHEN™ and Swift Lifts™ product lines, as well as strategic collaborations, which broadened brand offerings in select markets and categories. Additionally, when comparing the three months ended June 30, 2026 to the three months ended June 30, 2025, operational improvements attributed to the increase of revenues, net of discounts, including extended store hours across our Florida locations and targeted marketing initiatives designed to improve customer acquisition and retention. During the three months ended June 30, 2026, the Company continued to grow its retail presence, including the opening of one new store in Florida. These favorable factors were partially offset by competitive pressures in the Connecticut third party wholesale market. Retail revenues, net of discounts, for the three months ended June 30, 2026 was approximately 69.5% of total revenue compared to 69.7% of total revenue for the three months ended June 30, 2025, in each case, excluding intersegment eliminations. Cultivation (wholesale) revenues, net of discounts, for the three months ended June 30, 2026 was approximately 30.5% of total revenue compared to 30.3% of total revenue for the three months ended June 30, 2025, in each case, excluding intersegment eliminations. Refer to </w:t>
      </w:r>
      <w:r>
        <w:rPr>
          <w:color w:val="000000"/>
        </w:rPr>
        <w:t>“</w:t>
      </w:r>
      <w:r>
        <w:rPr>
          <w:rFonts w:ascii="Times New Roman;serif" w:hAnsi="Times New Roman;serif"/>
          <w:b w:val="false"/>
          <w:i/>
          <w:color w:val="000000"/>
          <w:sz w:val="20"/>
        </w:rPr>
        <w:t>Results of Operations by Segment</w:t>
      </w:r>
      <w:r>
        <w:rPr>
          <w:color w:val="000000"/>
        </w:rPr>
        <w:t xml:space="preserve">” </w:t>
      </w:r>
      <w:r>
        <w:rPr>
          <w:rFonts w:ascii="Times New Roman;serif" w:hAnsi="Times New Roman;serif"/>
          <w:b w:val="false"/>
          <w:color w:val="000000"/>
          <w:sz w:val="20"/>
        </w:rPr>
        <w:t>for further discussion of our retail revenue and cultivation (wholesale) revenues, net of discounts.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Gross Profit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Gross profit for the three months ended June 30, 2026 was $99,699, representing a gross profit margin of 46%. This is compared to gross profit for the three months ended June 30, 2025 of $112,984, which represented a gross profit margin of 56%. The decrease was primarily attributable to price compression in the third-party cultivation (wholesale) segment when comparing the three months ended June 30, 2026 to the three months ended June 30, 2025.</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Net Loss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loss attributable to the Company for the three months ended June 30, 2026 was $(13,411), a decrease of $5,739, compared to a net loss of $(19,150) for the three months ended June 30, 2025. The decrease was primarily driven by a lower provision for income taxes, partially offset by an increase in operational expenses when comparing the three months ended June 30, 2026 to the three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200" w:after="283"/>
        <w:jc w:val="both"/>
        <w:rPr/>
      </w:pPr>
      <w:hyperlink w:anchor="i4eefff2545794af2a9cb746809773a65_7">
        <w:r>
          <w:rPr>
            <w:rStyle w:val="InternetLink"/>
            <w:rFonts w:ascii="Times New Roman;serif" w:hAnsi="Times New Roman;serif"/>
            <w:b w:val="false"/>
            <w:color w:val="0000FF"/>
            <w:sz w:val="20"/>
            <w:u w:val="single"/>
          </w:rPr>
          <w:t>Table of Contents</w:t>
        </w:r>
      </w:hyperlink>
    </w:p>
    <w:p>
      <w:pPr>
        <w:pStyle w:val="TextBody"/>
        <w:bidi w:val="0"/>
        <w:spacing w:before="240" w:after="283"/>
        <w:jc w:val="both"/>
        <w:rPr/>
      </w:pPr>
      <w:r>
        <w:rPr/>
      </w:r>
    </w:p>
    <w:tbl>
      <w:tblPr>
        <w:tblW w:w="8138" w:type="dxa"/>
        <w:jc w:val="left"/>
        <w:tblInd w:w="0" w:type="dxa"/>
        <w:tblLayout w:type="fixed"/>
        <w:tblCellMar>
          <w:top w:w="28" w:type="dxa"/>
          <w:left w:w="28" w:type="dxa"/>
          <w:bottom w:w="28" w:type="dxa"/>
          <w:right w:w="28" w:type="dxa"/>
        </w:tblCellMar>
      </w:tblPr>
      <w:tblGrid>
        <w:gridCol w:w="1406"/>
        <w:gridCol w:w="1236"/>
        <w:gridCol w:w="1242"/>
        <w:gridCol w:w="109"/>
        <w:gridCol w:w="109"/>
        <w:gridCol w:w="109"/>
        <w:gridCol w:w="211"/>
        <w:gridCol w:w="826"/>
        <w:gridCol w:w="109"/>
        <w:gridCol w:w="109"/>
        <w:gridCol w:w="109"/>
        <w:gridCol w:w="109"/>
        <w:gridCol w:w="211"/>
        <w:gridCol w:w="721"/>
        <w:gridCol w:w="109"/>
        <w:gridCol w:w="109"/>
        <w:gridCol w:w="109"/>
        <w:gridCol w:w="109"/>
        <w:gridCol w:w="211"/>
        <w:gridCol w:w="721"/>
        <w:gridCol w:w="154"/>
      </w:tblGrid>
      <w:tr>
        <w:trPr/>
        <w:tc>
          <w:tcPr>
            <w:tcW w:w="140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r>
      <w:tr>
        <w:trPr/>
        <w:tc>
          <w:tcPr>
            <w:tcW w:w="388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Cost of Goods Sold,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118,219 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28,931 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92,494 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86,345 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on Impairment of Held for Sale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(32,227)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Cost of Goods Sold,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Cost of goods sold, net includes the costs directly attributable to product sales and includes amounts paid for finished goods, such as flower, edibles, and concentrates, as well as packaging and other supplies, fees for services and processing, rent, utilities, and related costs. Cost of goods sold, net for the three months ended June 30, 2026 was $118,219, an increase of $28,931 or 32.4%, as compared to the three months ended June 30, 2025. The increase was mainly attributable to an increase in overall revenues, net of discounts, when comparing the three months ended June 30, 2026 to the three months ended June 30, 2025.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(“SG&amp;A”) expenses for the three months ended June 30, 2026 were $92,494, an increase of $6,149 or 7%, compared to SG&amp;A expenses of $86,345 for the three months ended June 30, 2025. SG&amp;A expenses as a percentage of revenue were 42% and 43% for the three months ended June 30, 2026 and June 30, 2025, respectively. The increase in SG&amp;A expenses was attributable to administrative costs and additional operational costs associated with new store openings when comparing the three months ended June 30, 2026 to the three months ended June 30, 2025.</w:t>
      </w:r>
    </w:p>
    <w:p>
      <w:pPr>
        <w:pStyle w:val="TextBody"/>
        <w:bidi w:val="0"/>
        <w:spacing w:lineRule="auto" w:line="288" w:before="240" w:after="2"/>
        <w:jc w:val="both"/>
        <w:rPr>
          <w:rFonts w:ascii="Times New Roman;serif" w:hAnsi="Times New Roman;serif"/>
          <w:b w:val="false"/>
          <w:i/>
          <w:color w:val="000000"/>
          <w:sz w:val="20"/>
        </w:rPr>
      </w:pPr>
      <w:r>
        <w:rPr>
          <w:rFonts w:ascii="Times New Roman;serif" w:hAnsi="Times New Roman;serif"/>
          <w:b w:val="false"/>
          <w:i/>
          <w:color w:val="000000"/>
          <w:sz w:val="20"/>
        </w:rPr>
        <w:t>Loss on Impairment of Held for Sale Assets</w:t>
      </w:r>
    </w:p>
    <w:p>
      <w:pPr>
        <w:pStyle w:val="TextBody"/>
        <w:bidi w:val="0"/>
        <w:spacing w:lineRule="auto" w:line="288" w:before="240" w:after="2"/>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recorded an impairment on a held-for-sale asset related to a cultivation facility in Massachusetts of $4,062 as the carrying value exceeded the fair value less the cost to sell by such amount. In an effort to maximize its return on investments coupled with footprint optimization, the Company has $23,927 of assets held for sale. The Company has $21,725 of assets held for sale related to cultivation facilities in Florida and Massachusetts and $2,202 of assets held for sale related to two retail facilities in Massachusetts as of June 30, 2026.</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Other Expense,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Other expense, net for the three months ended June 30, 2026, was $(13,629), an increase of $3,420 as compared to the three months ended June 30, 2025. The increase in other expense, net was attributable to other non-operational costs when comparing the three months ended June 30, 2026 to the three months ended June 30, 2025. The year-over-year variance is partially offset by the Company's voluntary partial payoff agreement for the promissory note issued by the Company to Columbia Care East Virginia, LLC (the “CC East Virginia Promissory Note”) resulting in a Gain on Debt Extinguishment of $2,947 for the three months ended June 30, 2025, when compared to the three months ended June 30, 2026.</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Income tax expense is recognized based on the expected tax payable on the taxable income for the year, using tax rates enacted or substantively enacted at year-end. Income tax expense for the three months ended June 30, 2026, was $2,925, as compared to $35,152 for the three months ended June 30, 2025, a decrease of $32,227 or 92% primarily due to the forecasted annualized effective tax rates, adjusted for discrete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200" w:after="283"/>
        <w:jc w:val="both"/>
        <w:rPr/>
      </w:pPr>
      <w:hyperlink w:anchor="i4eefff2545794af2a9cb746809773a6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
        <w:jc w:val="both"/>
        <w:rPr>
          <w:rFonts w:ascii="Times New Roman;serif" w:hAnsi="Times New Roman;serif"/>
          <w:b/>
          <w:i/>
          <w:color w:val="000000"/>
          <w:sz w:val="20"/>
        </w:rPr>
      </w:pPr>
      <w:r>
        <w:rPr>
          <w:rFonts w:ascii="Times New Roman;serif" w:hAnsi="Times New Roman;serif"/>
          <w:b/>
          <w:i/>
          <w:color w:val="000000"/>
          <w:sz w:val="20"/>
        </w:rPr>
        <w:t>Six Months Ended June 30, 2026, as Compared to Six Months Ended June 30, 2025</w:t>
      </w:r>
    </w:p>
    <w:tbl>
      <w:tblPr>
        <w:tblW w:w="9534" w:type="dxa"/>
        <w:jc w:val="left"/>
        <w:tblInd w:w="0" w:type="dxa"/>
        <w:tblLayout w:type="fixed"/>
        <w:tblCellMar>
          <w:top w:w="28" w:type="dxa"/>
          <w:left w:w="28" w:type="dxa"/>
          <w:bottom w:w="28" w:type="dxa"/>
          <w:right w:w="28" w:type="dxa"/>
        </w:tblCellMar>
      </w:tblPr>
      <w:tblGrid>
        <w:gridCol w:w="1875"/>
        <w:gridCol w:w="1647"/>
        <w:gridCol w:w="1653"/>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1875"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517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5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Revenues, net of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426,096 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412,081 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14,015 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198,675 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212,565 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(13,890)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attributable to Verano Holdings Corp. &amp;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per share – basic &amp;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Revenues, net of discounts</w:t>
      </w:r>
    </w:p>
    <w:p>
      <w:pPr>
        <w:pStyle w:val="TextBody"/>
        <w:bidi w:val="0"/>
        <w:spacing w:lineRule="auto" w:line="288" w:before="240" w:after="283"/>
        <w:jc w:val="both"/>
        <w:rPr/>
      </w:pPr>
      <w:r>
        <w:rPr>
          <w:rFonts w:ascii="Times New Roman;serif" w:hAnsi="Times New Roman;serif"/>
          <w:b w:val="false"/>
          <w:color w:val="000000"/>
          <w:sz w:val="20"/>
        </w:rPr>
        <w:t>Revenues, net of discounts, for the six months ended June 30, 2026 was $426,096, an increase of $14,015 or 3%, compared to revenue of $412,081 for the six months ended June 30, 2025. The increase in revenue, net of discounts, was driven by strong new product momentum, including the continued expansion of our HYPHEN™ and Swift Lifts™ product lines, as well as strategic collaborations, which broadened brand offerings in select markets and categories. Additionally, when comparing the six months ended June 30, 2026 to the six months ended June 30, 2025, operational improvements attributed to the increase of revenues, net of discounts, including extended store hours across our Florida locations and targeted marketing initiatives designed to improve customer acquisition and retention. During the six months ended June 30, 2026, the Company continued to grow its retail presence, including the opening of three new stores in Florida.</w:t>
      </w:r>
      <w:r>
        <w:rPr>
          <w:color w:val="242424"/>
        </w:rPr>
        <w:t xml:space="preserve"> </w:t>
      </w:r>
      <w:r>
        <w:rPr>
          <w:rFonts w:ascii="Times New Roman;serif" w:hAnsi="Times New Roman;serif"/>
          <w:b w:val="false"/>
          <w:color w:val="000000"/>
          <w:sz w:val="20"/>
        </w:rPr>
        <w:t xml:space="preserve">Retail revenue for the six months ended June 30, 2026 was approximately 69.1% of total revenue compared to 68.8% of total revenue for the six months ended June 30, 2025, in each case, excluding intersegment eliminations. Cultivation (wholesale) revenue for the six months ended June 30, 2026 was approximately 30.9% of total revenue compared to 31.2% of total revenue for the six months ended June 30, 2025, in each case, excluding intersegment eliminations. Refer to </w:t>
      </w:r>
      <w:r>
        <w:rPr>
          <w:color w:val="000000"/>
        </w:rPr>
        <w:t>“</w:t>
      </w:r>
      <w:r>
        <w:rPr>
          <w:rFonts w:ascii="Times New Roman;serif" w:hAnsi="Times New Roman;serif"/>
          <w:b w:val="false"/>
          <w:i/>
          <w:color w:val="000000"/>
          <w:sz w:val="20"/>
        </w:rPr>
        <w:t>Results of Operations by Segment</w:t>
      </w:r>
      <w:r>
        <w:rPr>
          <w:color w:val="000000"/>
        </w:rPr>
        <w:t xml:space="preserve">” </w:t>
      </w:r>
      <w:r>
        <w:rPr>
          <w:rFonts w:ascii="Times New Roman;serif" w:hAnsi="Times New Roman;serif"/>
          <w:b w:val="false"/>
          <w:color w:val="000000"/>
          <w:sz w:val="20"/>
        </w:rPr>
        <w:t>for further discussion of our retail revenue and cultivation (wholesale) revenues, net of discounts.</w:t>
      </w:r>
    </w:p>
    <w:p>
      <w:pPr>
        <w:pStyle w:val="TextBody"/>
        <w:bidi w:val="0"/>
        <w:spacing w:lineRule="auto" w:line="288" w:before="240" w:after="2"/>
        <w:jc w:val="both"/>
        <w:rPr>
          <w:rFonts w:ascii="Times New Roman;serif" w:hAnsi="Times New Roman;serif"/>
          <w:b w:val="false"/>
          <w:i/>
          <w:color w:val="000000"/>
          <w:sz w:val="20"/>
        </w:rPr>
      </w:pPr>
      <w:r>
        <w:rPr>
          <w:rFonts w:ascii="Times New Roman;serif" w:hAnsi="Times New Roman;serif"/>
          <w:b w:val="false"/>
          <w:i/>
          <w:color w:val="000000"/>
          <w:sz w:val="20"/>
        </w:rPr>
        <w:t>Gross Profit</w:t>
      </w:r>
    </w:p>
    <w:p>
      <w:pPr>
        <w:pStyle w:val="TextBody"/>
        <w:bidi w:val="0"/>
        <w:spacing w:lineRule="auto" w:line="288" w:before="240" w:after="2"/>
        <w:jc w:val="both"/>
        <w:rPr>
          <w:rFonts w:ascii="Times New Roman;serif" w:hAnsi="Times New Roman;serif"/>
          <w:b w:val="false"/>
          <w:color w:val="000000"/>
          <w:sz w:val="20"/>
        </w:rPr>
      </w:pPr>
      <w:r>
        <w:rPr>
          <w:rFonts w:ascii="Times New Roman;serif" w:hAnsi="Times New Roman;serif"/>
          <w:b w:val="false"/>
          <w:color w:val="000000"/>
          <w:sz w:val="20"/>
        </w:rPr>
        <w:t>Gross profit for the six months ended June 30, 2026 was $198,675, representing a gross profit margin of 47%. This is compared to gross profit for the six months ended June 30, 2025 of $212,565, which represented a gross profit margin of 52%. The decrease in gross profit during the six months ended June 30, 2026 compared to the six months ended June 30, 2025, was primarily attributable to price compression in the third-party cultivation (wholesale) segment.</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Net Loss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loss attributable to the Company for the six months ended June 30, 2026 was $(31,234), an increase of $569, compared to a net loss of $(30,665) for the six months ended June 30, 2025. The increase was primarily driven by an increase in operational and non-operational expenses, and a loss on debt extinguishment related to the 2022 Credit Agreement of $5,738, which is largely offset by a decrease in the provision for income taxes when comparing the six months ended June 30, 2026 to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200" w:after="283"/>
        <w:jc w:val="both"/>
        <w:rPr/>
      </w:pPr>
      <w:hyperlink w:anchor="i4eefff2545794af2a9cb746809773a65_7">
        <w:r>
          <w:rPr>
            <w:rStyle w:val="InternetLink"/>
            <w:rFonts w:ascii="Times New Roman;serif" w:hAnsi="Times New Roman;serif"/>
            <w:b w:val="false"/>
            <w:color w:val="0000FF"/>
            <w:sz w:val="20"/>
            <w:u w:val="single"/>
          </w:rPr>
          <w:t>Table of Contents</w:t>
        </w:r>
      </w:hyperlink>
    </w:p>
    <w:tbl>
      <w:tblPr>
        <w:tblW w:w="8243" w:type="dxa"/>
        <w:jc w:val="left"/>
        <w:tblInd w:w="0" w:type="dxa"/>
        <w:tblLayout w:type="fixed"/>
        <w:tblCellMar>
          <w:top w:w="28" w:type="dxa"/>
          <w:left w:w="28" w:type="dxa"/>
          <w:bottom w:w="28" w:type="dxa"/>
          <w:right w:w="28" w:type="dxa"/>
        </w:tblCellMar>
      </w:tblPr>
      <w:tblGrid>
        <w:gridCol w:w="1406"/>
        <w:gridCol w:w="1236"/>
        <w:gridCol w:w="1242"/>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140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388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Cost of Goods Sold,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227,421 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199,516 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27,905 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178,371 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170,924 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on Impairment of Held for Sale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Cost of Goods Sold,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Cost of goods sold, net includes the costs directly attributable to product sales and includes amounts paid for finished goods, such as flower, edibles, and concentrates, as well as packaging and other supplies, fees for services and processing, rent, utilities, and related costs. Cost of goods sold, net, for the six months ended June 30, 2026 was $227,421, an increase of $27,905 or 14%, as compared to the six months ended June 30, 2025. The increase was primarily driven by an increase in overall revenues, net of discounts, when comparing the six months ended June 30, 2026 to the six months ended June 30, 2025.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SG&amp;A expenses for the six months ended June 30, 2026 were $178,371, an increase of $7,447 or 4%, compared to SG&amp;A expenses of $170,924 for the six months ended June 30, 2025. SG&amp;A expenses as a percentage of revenue was 42% and 41% for the six months ended June 30, 2026, and June 30, 2025, respectively. The increase in SG&amp;A expenses was attributable to administrative costs, marketing costs and additional operational costs associated with new store openings when comparing the six months ended June 30, 2026 to the six months ended June 30, 2025.</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Loss on Impairment of Held for Sale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recorded an impairment on a held-for-sale asset related to a cultivation facility in Massachusetts of $4,062 as the carrying value exceeded the fair value less the cost to sell by such amount. In an effort to maximize its return on investments coupled with footprint optimization, the Company has $23,927 of assets held for sale. The Company has $21,725 of assets held for sale related to cultivation facilities in Florida and Massachusetts and $2,202 of assets held for sale related to two retail facilities in Massachusetts as of June 30, 2026.</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Other Expense,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Other expense, net for the six months ended June 30, 2026, was $(32,928), representing an increase of $(13,551) compared to the six months ended June 30, 2025. This increase was largely driven by a $5,738 loss on debt extinguishment related to the 2022 Credit Agreement obligations recognized during the six months ended June 30, 2026. When comparing the six months ended June 30, 2026 to the six months ended June 30, 2025, the year-over-year variance in other expense, net was primarily attributable to i) a $2,947 Gain on debt extinguishment resulting from the voluntary partial payoff of the CC East Virginia Promissory Note for the period ended June 30, 2025, and ii) a $4,739 Gain on Deconsolidation related to our Arkansas operations for the period ended June 30, 2025. The Arkansas deconsolidation occurred in January 2025, when those operations no longer met the criteria for consolidation following the termination of contracts that had previously provided us with control over the applicable entity's operations.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Income tax expense is recognized based on the expected tax payable on the taxable income for the year, using tax rates enacted or substantively enacted at year-end. Income tax expense for the six months ended June 30, 2026, was $(14,548), a decrease of $37,953 or 72% primarily due to the forecasted annualized effective tax rates, adjusted for discrete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200" w:after="283"/>
        <w:jc w:val="both"/>
        <w:rPr/>
      </w:pPr>
      <w:hyperlink w:anchor="i4eefff2545794af2a9cb746809773a6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2"/>
        <w:jc w:val="both"/>
        <w:rPr>
          <w:rFonts w:ascii="Times New Roman;serif" w:hAnsi="Times New Roman;serif"/>
          <w:b/>
          <w:color w:val="000000"/>
          <w:sz w:val="20"/>
        </w:rPr>
      </w:pPr>
      <w:r>
        <w:rPr>
          <w:rFonts w:ascii="Times New Roman;serif" w:hAnsi="Times New Roman;serif"/>
          <w:b/>
          <w:color w:val="000000"/>
          <w:sz w:val="20"/>
        </w:rPr>
        <w:t>Results of Operations by Segment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two reportable segments: (i) cultivation (wholesale) and (ii) retail. Due to the vertically integrated nature of its business, the Company reviews its revenue at the cultivation (wholesale) and retail levels while reviewing its operating results on a consolidated basis.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revenues, net of discounts, by segment for the three and six months ended June 30, 2026 and 2025:</w:t>
      </w:r>
    </w:p>
    <w:tbl>
      <w:tblPr>
        <w:tblW w:w="8481" w:type="dxa"/>
        <w:jc w:val="left"/>
        <w:tblInd w:w="0" w:type="dxa"/>
        <w:tblLayout w:type="fixed"/>
        <w:tblCellMar>
          <w:top w:w="28" w:type="dxa"/>
          <w:left w:w="28" w:type="dxa"/>
          <w:bottom w:w="28" w:type="dxa"/>
          <w:right w:w="28" w:type="dxa"/>
        </w:tblCellMar>
      </w:tblPr>
      <w:tblGrid>
        <w:gridCol w:w="1016"/>
        <w:gridCol w:w="892"/>
        <w:gridCol w:w="896"/>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211"/>
        <w:gridCol w:w="614"/>
      </w:tblGrid>
      <w:tr>
        <w:trP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r>
      <w:tr>
        <w:trPr/>
        <w:tc>
          <w:tcPr>
            <w:tcW w:w="28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Revenues, net of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Cultivation (Wholesale)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79,812 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61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182,158 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169,098 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6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Intersegment 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61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Revenues, net of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217,918 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15,646 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Revenues, net of discounts, for the cultivation (wholesale) segment were $79,812 for the three months ended June 30, 2026, an increase of $6,472 or 9%, compared to the three months ended June 30, 2025, in each case, excluding intersegment eliminations. The increase in cultivation (wholesale) revenues, net of discounts, was driven by the increased demand for new products, new customer growth, and notable strength in the New Jersey, Ohio, Pennsylvania, and Virginia third party wholesale markets. This is partially offset by increased competition and promotional activity in key third-party wholesale markets, specifically in Connecticut when comparing the three months ended June 30, 2026 to the three months ended June 30,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Revenues, net of discounts, for the retail segment were $182,158 for the three months ended June 30, 2026, an increase of $13,060, compared to the three months ended June 30, 2025, in each case, excluding intersegment eliminations. The increase in retail revenue, net of discounts, was driven by strong new product momentum, including the continued expansion of our HYPHEN™ and Swift Lifts™ product lines, as well as strategic collaborations, which broadened brand offerings in select markets and categories. Additionally, operational improvements attributed to the increase of retail revenues, net of discounts, including extended store hours across our Florida locations and targeted marketing initiatives designed to improve customer acquisition and retention, when comparing the three months ended June 30, 2026 to the three months ended June 30, 2025.</w:t>
      </w:r>
    </w:p>
    <w:tbl>
      <w:tblPr>
        <w:tblW w:w="8570" w:type="dxa"/>
        <w:jc w:val="left"/>
        <w:tblInd w:w="0" w:type="dxa"/>
        <w:tblLayout w:type="fixed"/>
        <w:tblCellMar>
          <w:top w:w="28" w:type="dxa"/>
          <w:left w:w="28" w:type="dxa"/>
          <w:bottom w:w="28" w:type="dxa"/>
          <w:right w:w="28" w:type="dxa"/>
        </w:tblCellMar>
      </w:tblPr>
      <w:tblGrid>
        <w:gridCol w:w="1016"/>
        <w:gridCol w:w="892"/>
        <w:gridCol w:w="896"/>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614"/>
      </w:tblGrid>
      <w:tr>
        <w:trP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28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Revenues, net of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Cultivation (Wholesale)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158,644 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152,901 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61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354,298 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337,905 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6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Intersegment 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(86,846)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61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Revenues, net of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426,096 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412,081 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14,015 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Revenues, net of discounts, for the cultivation (wholesale) segment were $158,644 for the six months ended June 30, 2026, an increase of $5,743 or 4%, compared to the six months ended June 30, 2025, in each case, excluding intersegment eliminations. The increase in cultivation (wholesale) revenues, net of discounts, was attributable to new customer acquisitions and increased customer base particularly in the New Jersey, Ohio, and Virginia markets. The comparative increase is partially offset by continued price compression and competition in third party wholesale markets, most notably in Connecticut when comparing the six months ended June 30, 2026 to the six months ended June 30, 2025.</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Revenues, net of discounts, for the retail segment were $354,298 for the six months ended June 30, 2026, an increase of $16,393 or 5%, compared to the six months ended June 30, 2025, in each case, excluding intersegment eliminations. The increase in retail revenue, net of discounts, was driven by strong new product momentum, including the continued expansion of our HYPHEN™ and Swift Lifts™ product lines, as well as strategic collaborations, which broadened brand offerings in select markets and categories. Additionally, operational improvements attributed to the increase of retail revenues, net of discounts, including extended store hours across our Florida locations and targeted marketing initiatives designed to improve customer acquisition and retention, when comparing the six months ended June 30, 2026 to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200" w:after="283"/>
        <w:jc w:val="both"/>
        <w:rPr/>
      </w:pPr>
      <w:hyperlink w:anchor="i4eefff2545794af2a9cb746809773a6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Drivers of Operational Performance</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derives its revenue from both its cultivation (wholesale) business in which it cultivates, produces and sells cannabis products to third-party retail customers, and its retail business, in which it directly sells cannabis products to retail patients and consumers. For the three months ended June 30, 2026, approximately 30.5% of the Company’s revenue was generated from the cultivation (wholesale) business, excluding intersegment eliminations, and approximately 69.5% from the retail business, excluding intersegment eliminations. For the six months ended June 30, 2026, approximately 30.9% of revenue was generated from the cultivation (wholesale) business, excluding intersegment eliminations and approximately 69.1% from the retail business, excluding intersegment eliminations.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Gross Profit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Gross profit is revenue less cost of goods sold, net. Cost of goods sold, net, includes the costs directly attributable to product sales and includes amounts paid for finished goods, such as flower, edibles, and concentrates, as well as packaging and other supplies, fees for services and processing, rent, utilities, and related costs. Cannabis costs are affected by various state regulations that limit the sourcing and procurement of cannabis product, which may create fluctuations in gross profit over comparative periods as the regulatory environment changes. Gross profit margin measures the Company’s gross profit as a percentage of revenue.</w:t>
      </w:r>
    </w:p>
    <w:p>
      <w:pPr>
        <w:pStyle w:val="TextBody"/>
        <w:bidi w:val="0"/>
        <w:spacing w:lineRule="auto" w:line="288" w:before="240" w:after="2"/>
        <w:jc w:val="both"/>
        <w:rPr>
          <w:rFonts w:ascii="Times New Roman;serif" w:hAnsi="Times New Roman;serif"/>
          <w:b w:val="false"/>
          <w:color w:val="000000"/>
          <w:sz w:val="20"/>
        </w:rPr>
      </w:pPr>
      <w:r>
        <w:rPr>
          <w:rFonts w:ascii="Times New Roman;serif" w:hAnsi="Times New Roman;serif"/>
          <w:b w:val="false"/>
          <w:color w:val="000000"/>
          <w:sz w:val="20"/>
        </w:rPr>
        <w:t>The Company’s expansion strategy and revenue growth have taken priority and will continue to do so for the foreseeable future as it expands its footprint, by exploring new markets and opening or acquiring new dispensary locations, and scales production within certain markets. In the core markets in which the Company is already operational and, as the state markets mature, the Company has experienced pressure on margins within the cultivation (wholesale) and retail segments and expects this to continue. The Company’s current production capacity has not been fully realized and it is expected that price compression at the cultivation (wholesale) level, will be partially offset by operational optimization.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Total Expenses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 expenses other than the cost of goods sold consist of selling costs to support customer relationships and to deliver product to the Company’s retail stores. It also includes a significant investment in the corporate infrastructure required to support ongoing business.</w:t>
      </w:r>
    </w:p>
    <w:p>
      <w:pPr>
        <w:pStyle w:val="TextBody"/>
        <w:bidi w:val="0"/>
        <w:spacing w:lineRule="auto" w:line="288" w:before="240" w:after="2"/>
        <w:jc w:val="both"/>
        <w:rPr>
          <w:rFonts w:ascii="Times New Roman;serif" w:hAnsi="Times New Roman;serif"/>
          <w:b w:val="false"/>
          <w:color w:val="000000"/>
          <w:sz w:val="20"/>
        </w:rPr>
      </w:pPr>
      <w:r>
        <w:rPr>
          <w:rFonts w:ascii="Times New Roman;serif" w:hAnsi="Times New Roman;serif"/>
          <w:b w:val="false"/>
          <w:color w:val="000000"/>
          <w:sz w:val="20"/>
        </w:rPr>
        <w:t>Selling costs generally correlate to revenue. As a percentage of sales, selling costs are expected to continue to increase slightly in currently operational markets as facility and market expansion occurs. The increase is expected to continue to be driven primarily by the growth of the Company’s retail and cultivation (wholesale) segments and new retail openings.</w:t>
      </w:r>
    </w:p>
    <w:p>
      <w:pPr>
        <w:pStyle w:val="TextBody"/>
        <w:bidi w:val="0"/>
        <w:spacing w:lineRule="auto" w:line="288" w:before="240" w:after="2"/>
        <w:jc w:val="both"/>
        <w:rPr>
          <w:rFonts w:ascii="Times New Roman;serif" w:hAnsi="Times New Roman;serif"/>
          <w:b w:val="false"/>
          <w:color w:val="000000"/>
          <w:sz w:val="20"/>
        </w:rPr>
      </w:pPr>
      <w:r>
        <w:rPr>
          <w:rFonts w:ascii="Times New Roman;serif" w:hAnsi="Times New Roman;serif"/>
          <w:b w:val="false"/>
          <w:color w:val="000000"/>
          <w:sz w:val="20"/>
        </w:rPr>
        <w:t>SG&amp;A expenses also include personnel costs incurred, including salaries, incentive compensation, benefits, stock-based compensation and professional service costs. SG&amp;A expenses may increase in connection with supporting the business and the Company could experience an increase in expenses related to recruiting and hiring talent, along with legal and professional fees associated with being a public-reporting company.</w:t>
      </w:r>
    </w:p>
    <w:p>
      <w:pPr>
        <w:pStyle w:val="TextBody"/>
        <w:bidi w:val="0"/>
        <w:spacing w:lineRule="auto" w:line="288" w:before="240" w:after="2"/>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 subject to income taxes in the jurisdictions in which it operates and, consequently, income tax expense is a function of the allocation of taxable income by jurisdiction and the various activities that impact the timing of taxable events. As the Company operates in the cannabis industry, it is subject to the limits of Section 280E of the Code under which the Company is only allowed to deduct expenses directly related to the sale of products. This results in permanent differences between ordinary and necessary business expenses deemed non-allowable under Section 280E of the Code and a higher effective tax rate than most industries. The Company has taken a position that it does not owe taxes attributable to the application of Section 280E of the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200" w:after="283"/>
        <w:jc w:val="both"/>
        <w:rPr/>
      </w:pPr>
      <w:hyperlink w:anchor="i4eefff2545794af2a9cb746809773a6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LIQUIDITY, FINANCING ACTIVITIES AND CAPITAL RESOURCES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total current liabilities of $109,366 and $140,261, respectively. As of June 30, 2026 and December 31, 2025, the Company had cash and cash equivalents of $85,195 and $82,724, respectively, to meet its current obligations. The Company had working capital of $294,916 as of June 30, 2026, an increase of working capital of $30,526 as compared to December 31, 2025. This increase in working capital during the six months ended June 30, 2026 compared to December 31, 2025, was largely attributable to income tax payable balances due in part to the Company's treatment of Section 280E of the Code coupled with reductions in Accounts Payable and Accrued Liabilities.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generates cash from revenues and deploys its capital to acquire and develop assets capable of producing additional revenues and earnings over both the immediate and long term. Capital is primarily being utilized for facility improvements, strategic investment opportunities, and general and administrative expenses.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Requirements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short-term liquidity requirements consist primarily of funds necessary to pay for our acquisitions, to repay borrowings, maintain our operations and other general business needs. We believe that internally generated funds and other sources of liquidity discussed below will be sufficient to meet working capital needs, capital expenditures, and other business requirements for at least the next 12 months. We believe we will meet known or reasonably likely future cash requirements through the combination of cash generated from operating activities and available cash balances. If these sources of liquidity need to be augmented, additional cash requirements would likely be financed through the issuance of equity securities or additional borrowings; however, there can be no assurances that we will be able to obtain additional equity financing or debt financing on acceptable terms, or on terms similar to our existing financings, in the future.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long-term liquidity requirements consist primarily of completing additional acquisitions, scheduled debt payments, future payments of income tax payables, maintaining and expanding our operations and other general business needs. We expect to meet our long-term liquidity requirements through various sources of capital, which may include future debt or equity issuances, net cash provided by operations and other secured and unsecured borrowings. We believe that the foregoing sources of capital will provide sufficient funds for our operations, anticipated expansion and scheduled debt payments for the long-term. Our ability to fund our operating needs will depend on our future ability to continue to generate positive cash flow from operations and our ability to obtain debt or equity financing on acceptable terms.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2022 Credit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27, 2022, Verano and certain of its subsidiaries and affiliates from time-to-time party thereto (collectively, the “Borrowers”), entered into a credit agreement (the “2022 Credit Agreement”) with Chicago Atlantic Admin, LLC (“Chicago Atlantic”), as administrative agent for the lenders, and the lenders from time-to-time party thereto (the “Lenders”), pursuant to which the Lenders advanced the Borrowers a $350,000 senior secured term loan, and which also provided the Borrowers with the right, subject to conditions, to request an additional incremental term loan of up to $100,000; provided that the Lenders elected to fund such incremental term loan. At funding, all the proceeds of the loans made under the 2022 Credit Agreement were used to repay the amounts owing under the Company's previous senior secured term loan credit facility. In connection with such repayment, such previous credit facility was terminated and is no longer in force or effect.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Beginning in October 2023, the loan required scheduled amortization payments of $350 per month and the remaining principal balance was due in full on October 30,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2022 Credit Agreement also provided the Borrowers with the right to (a) incur up to $120,000 of additional indebtedness from third-party lenders secured by real estate excluded as collateral under the 2022 Credit Agreement, (b) incur additional mortgage financing from third-party lenders secured by real estate acquired after the closing date, and (c) upon the SAFE Banking Act or similar legislation making banking services available to U.S. cannabis companies being passed by the United States Congress, incur up to $50,000 pursuant to a revolving credit facility from third-party lenders that is pari passu or subordinated to the 2022 Credit Agreement obligations, each of which were subject to customary conditions.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obligations under the 2022 Credit Agreement were secured by substantially all of the assets of the Borrowers, excluding vehicles, specified parcels of real estate and other customary exclusions.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200" w:after="283"/>
        <w:jc w:val="both"/>
        <w:rPr/>
      </w:pPr>
      <w:hyperlink w:anchor="i4eefff2545794af2a9cb746809773a6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2022 Credit Agreement provided for a floating annual interest rate equal to the prime rate then in effect plus 6.50%, which rate could have been increased by 3.00% upon an event of default that is not a material event of default or 6.00% upon a material event of default as provided in the 2022 Credit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At any time, the Company was able to voluntarily prepay up to $100,000 of the principal balance, subject to a one-time $1,000 prepayment premium upon the first prepayment, and was able to prepay the remaining outstanding principal balance for a prepayment premium at varying rates based on the timing of any subsequent prepayments. The Borrowers were not able to voluntarily prepay more than $100,000 of the principal balance without prepaying the entire outstanding principal balance of the loan.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April 30, 2024, the Company made a Permitted Partial Optional Prepayment (as defined in the 2022 Credit Agreement) in the amount of $50,000 pursuant to the 2022 Credit Agreement and paid a $1,000 prepayment premium in connection therewith. In connection with such Permitted Partial Optional Prepayment, Chicago Atlantic and certain Lenders agreed to (a) release certain Borrowers from their obligations under, and as parties to, the 2022 Credit Agreement and related agreements and (b) release all liens over such Borrowers’ property, including real estate, held by Chicago Atlantic for the benefit of the Lenders, in each case, pursuant to a limited consent and waiver, dated as of April 29, 2024, by and among Borrowers, certain of the lenders party thereto and Chicago Atlantic.</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September 30, 2025, the Company made an additional Permitted Partial Optional Prepayment (as defined in the 2022 Credit Agreement) in the amount of $50,000 pursuant to the 2022 Credit Agreement, without any penalty or premium.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March 11, 2026, the Company repaid all amounts owing under the 2022 Credit Agreement together with a prepayment premium of $4,345. As a result of such payment, the 2022 Credit Agreement was terminated and is no longer in force or effect.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Revolver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September 30, 2025, the Company entered into a credit agreement (as amended, the “Revolver”), by and among the Company, as a guarantor, certain subsidiaries of the Company from time-to-time party thereto as borrowers (the “Real Estate Subsidiaries”), the lenders from time-to-time party thereto, and Chicago Atlantic, as administrative agent for the lenders.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Revolver initially provided for a $75,000 revolving loan facility, $50,000 of which was drawn on September 30, 2025 and used to prepay, without any penalty or premium, $50,000 of outstanding obligations due under the 2022 Credit Agreement. Amounts drawn under the Revolver do not require amortization payments. The Revolver provides for a floating annual interest rate on amounts drawn equal to one-month Term SOFR (subject to a minimum 4% SOFR floor) plus 6%, which rate may be increased by 3% upon an event of default or 6% upon a material event of default as provided in the Revolver. The Company incurred debt issuance costs of $2,209 in connection with the establishment of the Revolver.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Revolver may be drawn in $2,500 increments upon ten business days prior notice and any outstanding amount under the Revolver may be voluntarily prepaid in $2,500 increments upon five business days prior notice without any penalty or premium, unless such prepayment occurs within six months of the applicable advance, in which case, such prepayment is subject to a six-month interest make whole. Any amounts prepaid may be redrawn subject to the same requirements set forth above. The Revolver was initially subject to a borrowing base which required the outstanding principal balance under the Revolver to be equal to or less than 60% of the appraised value, net of certain indebtedness, of the owned real estate serving as collateral for the Revolver from time to time.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obligations under the Revolver are secured by substantially all of the assets of the Real Estate Subsidiaries, which primarily consists of owned real estate, and are guaranteed by the Company on an unsecured basis. Additionally, the Revolver allows for the proportionate release of certain Real Estate Subsidiaries upon request of the Company so long as the outstanding principal balance under the Revolver does not exceed 60% of the appraised value, net of certain indebtedness, of the owned real estate serving as collateral after giving effect to such release.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Revolver includes customary representations, warranties, covenants and customary events of default, including, without limitation, payment defaults, breaches of representations and warranties, covenant defaults, cross-defaults to material indebtedness, and events of bankruptcy and insolvency. The Revolver also includes customary covenants, including, without limitation, limiting the Real Estate Subsidiaries’ ability to incur additional indebtedness, make guarantees and grant liens that are otherwise not permitted and enter into or consummate acquisitions or dispositions that are not otherwise permitted, among others. As of June 30, 2026, the Company was in compliance with such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200" w:after="283"/>
        <w:jc w:val="both"/>
        <w:rPr/>
      </w:pPr>
      <w:hyperlink w:anchor="i4eefff2545794af2a9cb746809773a6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January 12, 2026, the Company entered into a First Amendment to Credit Agreement and Omnibus First Amendment to Credit Documents (the “First Amendment”), to amend the Revolver. The First Amendment increased the lending commitment of the Revolver from $75,000 to $100,000 and amended the date on which all outstanding amounts are due in full from September 29, 2028 to February 28, 2029. Additionally, the First Amendment amended the borrowing base for the Revolver to an advance rate of up to 80%, rather than 60%, of the appraised value, net of certain indebtedness, of the owned real estate serving as collateral for the Revolver. The First Amendment also includes certain other immaterial updates to the Revolver. No additional collateral was pledged to secure the Revolver in connection with the First Amendment. On March 11, 2026, the Company drew $50,000 under the Revolver, bringing the total amount drawn under the Revolver to $100,000, which was used to repay amounts owing under the 2022 Credit Agreement.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2026 Credit Agreement</w:t>
      </w:r>
    </w:p>
    <w:p>
      <w:pPr>
        <w:pStyle w:val="TextBody"/>
        <w:bidi w:val="0"/>
        <w:spacing w:lineRule="auto" w:line="288" w:before="240" w:after="2"/>
        <w:jc w:val="both"/>
        <w:rPr>
          <w:rFonts w:ascii="Times New Roman;serif" w:hAnsi="Times New Roman;serif"/>
          <w:b w:val="false"/>
          <w:color w:val="000000"/>
          <w:sz w:val="20"/>
        </w:rPr>
      </w:pPr>
      <w:r>
        <w:rPr>
          <w:rFonts w:ascii="Times New Roman;serif" w:hAnsi="Times New Roman;serif"/>
          <w:b w:val="false"/>
          <w:color w:val="000000"/>
          <w:sz w:val="20"/>
        </w:rPr>
        <w:t>On March 11, 2026, Verano and certain of its subsidiaries and affiliates from time-to-time party thereto (collectively, the “2026 Borrowers”), entered into a credit agreement (the “2026 Credit Agreement”) with Needham Bank (“Needham”), as collateral agent and administrative agent for the lenders, Chicago Atlantic Financial Services, LLC, as co-administrative agent for the lenders, and the lenders from time-to-time party thereto (the “2026 Lenders”), pursuant to which the 2026 Lenders advanced the 2026 Borrowers a $195,000 senior secured term loan, all of which was used to repay the amounts owing under the 2022 Credit Agreement. The Company is required to make scheduled amortization payments of $875 per month and the remaining principal balance is due in full on March 11, 2029; provided that the maturity date may be extended to March 11, 2030 upon the election of the Company, the payment of 1.5% of the then outstanding principal balance by the Company, and the consent of the 2026 Lenders. The 2026 Credit Agreement may be prepaid in part (in increments of $5,000 and in an amount not less than $10,000) or in full at any time, subject to a 1.5% prepayment premium during the first two years of the 2026 Credit Agreement and 0% thereafter; provided, that if the maturity date is extended to March 11, 2030, the prepayment premium will be 1.5% in all cases.</w:t>
      </w:r>
    </w:p>
    <w:p>
      <w:pPr>
        <w:pStyle w:val="TextBody"/>
        <w:bidi w:val="0"/>
        <w:spacing w:lineRule="auto" w:line="288" w:before="240" w:after="2"/>
        <w:jc w:val="both"/>
        <w:rPr>
          <w:rFonts w:ascii="Times New Roman;serif" w:hAnsi="Times New Roman;serif"/>
          <w:b w:val="false"/>
          <w:color w:val="000000"/>
          <w:sz w:val="20"/>
        </w:rPr>
      </w:pPr>
      <w:r>
        <w:rPr>
          <w:rFonts w:ascii="Times New Roman;serif" w:hAnsi="Times New Roman;serif"/>
          <w:b w:val="false"/>
          <w:color w:val="000000"/>
          <w:sz w:val="20"/>
        </w:rPr>
        <w:t>The obligations under the 2026 Credit Agreement are secured by substantially all of the assets of the 2026 Borrowers, excluding vehicles, specified parcels of real estate, other customary exclusions, and subject to compliance with the terms of the 2026 Credit Agreement, entities, assets and parcels of real estate acquired after the closing of the 2026 Credit Agreement. The 2026 Credit Agreement provides for a floating annual interest rate equal to one-month Term SOFR (subject to a minimum 4% SOFR floor) plus 5.5%, which rate may be increased by 5% upon an event of default as provided in the 2026 Credit Agreement. The 2026 Credit Agreement includes customary representations and warranties, covenants and customary events of default, including, without limitation, payment defaults, breaches of representations and warranties, covenant defaults, cross-defaults to material indebtedness, and events of bankruptcy and insolvency. Additionally, the 2026 Credit Agreement requires the Borrowers to meet certain financial tests regarding minimum cash balances and a minimum fixed charge coverage ratio. As of June 30, 2026, the Company was in compliance with such covenants.</w:t>
      </w:r>
    </w:p>
    <w:p>
      <w:pPr>
        <w:pStyle w:val="TextBody"/>
        <w:bidi w:val="0"/>
        <w:spacing w:lineRule="auto" w:line="288" w:before="240" w:after="2"/>
        <w:jc w:val="both"/>
        <w:rPr>
          <w:rFonts w:ascii="Times New Roman;serif" w:hAnsi="Times New Roman;serif"/>
          <w:b w:val="false"/>
          <w:color w:val="000000"/>
          <w:sz w:val="20"/>
        </w:rPr>
      </w:pPr>
      <w:r>
        <w:rPr>
          <w:rFonts w:ascii="Times New Roman;serif" w:hAnsi="Times New Roman;serif"/>
          <w:b w:val="false"/>
          <w:color w:val="000000"/>
          <w:sz w:val="20"/>
        </w:rPr>
        <w:t>George Archos, the Chairman, Chief Executive Officer and President of the Company, funded, through an affiliated entity, $10,000 of the amount provided by a 2026 Lender. As a result of this participation, Mr. Archos will receive his pro rata share of all interest and principal payments made by the Company to such 2026 Lender under the 2026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200" w:after="283"/>
        <w:jc w:val="both"/>
        <w:rPr/>
      </w:pPr>
      <w:hyperlink w:anchor="i4eefff2545794af2a9cb746809773a6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
        <w:jc w:val="left"/>
        <w:rPr>
          <w:rFonts w:ascii="Times New Roman;serif" w:hAnsi="Times New Roman;serif"/>
          <w:b/>
          <w:color w:val="000000"/>
          <w:sz w:val="20"/>
        </w:rPr>
      </w:pPr>
      <w:r>
        <w:rPr>
          <w:rFonts w:ascii="Times New Roman;serif" w:hAnsi="Times New Roman;serif"/>
          <w:b/>
          <w:color w:val="000000"/>
          <w:sz w:val="20"/>
        </w:rPr>
        <w:t>Tax Liabilities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U.S. income tax payable liabilities. These income tax payable liabilities will require payment from our liquidity sources, and we believe we have sufficient liquidity for both short-term and long-term payments of our income tax payable liabilities in addition to our other obligations. The Company expects to retain additional cash from operations, due in part to the Company's treatment of Section 280E as not applying to limit its deduction of ordinary and necessary business expenses.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April 23, 2026, the Justice Department in accordance with the Executive Order issued the April Final Order reclassifying medical cannabis from Schedule I to Schedule III under the CSA. This action, taken pursuant to the Attorney General’s Authority under the CSA to schedule substances in compliance with the Single Convention on Narcotic Drugs, 1961, applies only to state licensed and approved medical cannabis; all other forms of cannabis. including adult use, remains classified as Schedule I. The April Final Order, effective as of April 26, 2026, provides an expedited registration process for state medical licensees and specifically states that registered state medical licensees will no longer be subject to the constraints of Section 280E. Separately, the Attorney General filed notices withdrawing the pending hearing on the proposed rulemaking notice filed in 2024, and instituted a new hearing on the proposed rule which began on June 29, 2026 and concluded on July 15, 2026. This expedited hearing addressed rescheduling the plant in its entirety, outside of state sanctioned medical programs. The evidentiary hearing concluded on July 15, 2026, and initial briefings are due from the parties on August 17, 2026. To date, no schedule has been set for an issuance of a final order on the hearing. The IRS, in a press release, has indicated that, for Section 280E purposes, rescheduling will generally apply to the full taxable year that includes the effective date of the April Final Order, for activities no longer involving Schedule I or II substances. In May 2026, several petitions were filed challenging the April Final Order, along with a motion to stay the April Final Order. The outcome of this litigation and its impact on the April Final Order and the hearing are uncertain. However, formal guidance from the IRS remains pending. The ultimate impact of the April Final Order and the hearing — including the resolution of accrued UTPs, remains uncertain and is subject to ongoing evaluation due to the complexity of the regulatory and tax environment.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200" w:after="283"/>
        <w:jc w:val="both"/>
        <w:rPr/>
      </w:pPr>
      <w:hyperlink w:anchor="i4eefff2545794af2a9cb746809773a6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Sources and Uses of Cash</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Net Cash Provided by (Used in) Operating Activities, Investing and Financing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(used in) operating, investing, and financing activities for the six months ended June 30, 2026 and 2025 were as follows:</w:t>
      </w:r>
    </w:p>
    <w:tbl>
      <w:tblPr>
        <w:tblW w:w="7407" w:type="dxa"/>
        <w:jc w:val="left"/>
        <w:tblInd w:w="0" w:type="dxa"/>
        <w:tblLayout w:type="fixed"/>
        <w:tblCellMar>
          <w:top w:w="28" w:type="dxa"/>
          <w:left w:w="28" w:type="dxa"/>
          <w:bottom w:w="28" w:type="dxa"/>
          <w:right w:w="28" w:type="dxa"/>
        </w:tblCellMar>
      </w:tblPr>
      <w:tblGrid>
        <w:gridCol w:w="1298"/>
        <w:gridCol w:w="1140"/>
        <w:gridCol w:w="1147"/>
        <w:gridCol w:w="211"/>
        <w:gridCol w:w="721"/>
        <w:gridCol w:w="109"/>
        <w:gridCol w:w="109"/>
        <w:gridCol w:w="109"/>
        <w:gridCol w:w="109"/>
        <w:gridCol w:w="211"/>
        <w:gridCol w:w="721"/>
        <w:gridCol w:w="109"/>
        <w:gridCol w:w="109"/>
        <w:gridCol w:w="109"/>
        <w:gridCol w:w="109"/>
        <w:gridCol w:w="211"/>
        <w:gridCol w:w="721"/>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36,525 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(11,569)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i/>
          <w:color w:val="000000"/>
          <w:sz w:val="20"/>
        </w:rPr>
        <w:t xml:space="preserve">Cash Flows from Operating Activities. </w:t>
      </w:r>
      <w:r>
        <w:rPr>
          <w:rFonts w:ascii="Times New Roman;serif" w:hAnsi="Times New Roman;serif"/>
          <w:b w:val="false"/>
          <w:color w:val="000000"/>
          <w:sz w:val="20"/>
        </w:rPr>
        <w:t>Cash flow generated from operating activities provides us with a source of liquidity. Our cash flows from operating activities result from cash received from our customers, offset by cash payments we make for products and services, operational costs, and income taxes. During the six months ended June 30, 2026 and 2025, the Company had net cash inflows of $49,211 and $12,686, respectively. The $36,525 increase was largely driven by an improvement in inventory management coupled with lower income tax cash outflows attributable to the Company's treatment of Section 280E as not applying to limit its deduction of ordinary and necessary business expenses when comparing the six months ended June 30, 2026 to the six months ended June 30, 2025.</w:t>
      </w:r>
    </w:p>
    <w:p>
      <w:pPr>
        <w:pStyle w:val="TextBody"/>
        <w:bidi w:val="0"/>
        <w:spacing w:lineRule="auto" w:line="288" w:before="240" w:after="283"/>
        <w:jc w:val="both"/>
        <w:rPr/>
      </w:pPr>
      <w:r>
        <w:rPr>
          <w:rFonts w:ascii="Times New Roman;serif" w:hAnsi="Times New Roman;serif"/>
          <w:b w:val="false"/>
          <w:i/>
          <w:color w:val="000000"/>
          <w:sz w:val="20"/>
        </w:rPr>
        <w:t xml:space="preserve">Cash Flows from Investing Activities. </w:t>
      </w:r>
      <w:r>
        <w:rPr>
          <w:rFonts w:ascii="Times New Roman;serif" w:hAnsi="Times New Roman;serif"/>
          <w:b w:val="false"/>
          <w:color w:val="000000"/>
          <w:sz w:val="20"/>
        </w:rPr>
        <w:t>During the six months ended June 30, 2026 and 2025, the Company had net cash outflows of $(26,752) and $(15,183), respectively. The $(11,569) increase in net cash outflows during the six months ended June 30, 2026 compared to the six months ended June 30, 2025 was largely driven by $9,071 of net cash inflows from the deconsolidation of Noah's Ark, LLC during the six months ended June 30, 2025. Additionally, purchases of property, plant and equipment were $26,807 during the six months ended June 30, 2026, compared to purchases of property, plant and equipment of $24,333 during the six months ended June 30, 2025.</w:t>
      </w:r>
    </w:p>
    <w:p>
      <w:pPr>
        <w:pStyle w:val="TextBody"/>
        <w:bidi w:val="0"/>
        <w:spacing w:lineRule="auto" w:line="288" w:before="240" w:after="283"/>
        <w:jc w:val="both"/>
        <w:rPr/>
      </w:pPr>
      <w:r>
        <w:rPr>
          <w:rFonts w:ascii="Times New Roman;serif" w:hAnsi="Times New Roman;serif"/>
          <w:b w:val="false"/>
          <w:i/>
          <w:color w:val="000000"/>
          <w:sz w:val="20"/>
        </w:rPr>
        <w:t>Cash Flows from Financing Activities.</w:t>
      </w:r>
      <w:r>
        <w:rPr>
          <w:color w:val="000000"/>
        </w:rPr>
        <w:t xml:space="preserve"> </w:t>
      </w:r>
      <w:r>
        <w:rPr>
          <w:rFonts w:ascii="Times New Roman;serif" w:hAnsi="Times New Roman;serif"/>
          <w:b w:val="false"/>
          <w:color w:val="000000"/>
          <w:sz w:val="20"/>
        </w:rPr>
        <w:t>During the six months ended June 30, 2026 and 2025, the Company had net cash outflows of $(19,988) and $(16,727), respectively. The $(3,261) increase in net cash outflows during the six months ended June 30, 2026 compared to the six months ended June 30, 2025 was driven by the debt issuance costs paid related to the 2026 Credit Agreement and the First Amendment of $11,337, coupled with the payments of debt extinguishment of $4,345 related to the 2022 Credit Agreement, when comparing the six months ended June 30, 2026 to the six months ended June 30, 2025. Additionally, the Company had a $2,003 cash outflow during the six months ended June 30, 2026, related to the repurchase of 320,000 shares of Common Stock as part of the publicly announced share repurchase program.</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Changes in or Adoption of Accounting Practices</w:t>
      </w:r>
    </w:p>
    <w:p>
      <w:pPr>
        <w:pStyle w:val="TextBody"/>
        <w:bidi w:val="0"/>
        <w:spacing w:lineRule="auto" w:line="288" w:before="240" w:after="283"/>
        <w:jc w:val="both"/>
        <w:rPr/>
      </w:pPr>
      <w:r>
        <w:rPr>
          <w:rFonts w:ascii="Times New Roman;serif" w:hAnsi="Times New Roman;serif"/>
          <w:b w:val="false"/>
          <w:color w:val="000000"/>
          <w:sz w:val="20"/>
        </w:rPr>
        <w:t xml:space="preserve">Refer to the discussion of recently issued accounting standards under Part I, Item 1, Notes to Unaudited Interim Condensed Consolidated Financial Statements, </w:t>
      </w:r>
      <w:r>
        <w:rPr>
          <w:rFonts w:ascii="Times New Roman;serif" w:hAnsi="Times New Roman;serif"/>
          <w:b w:val="false"/>
          <w:i/>
          <w:color w:val="000000"/>
          <w:sz w:val="20"/>
        </w:rPr>
        <w:t>Note 1 - Overview and Basis of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Critical Accounting Policies and Significant Judgments and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to our critical accounting policies and estimates from the information provided in “Management’s Discussion and Analysis of Financial Condition and Results of Operations,” included in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market risk disclosures as set forth in Part II, Item 7A of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200" w:after="283"/>
        <w:jc w:val="both"/>
        <w:rPr/>
      </w:pPr>
      <w:hyperlink w:anchor="i4eefff2545794af2a9cb746809773a6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disclosure controls and procedures (as defined in Rules 13a-15(e) and 15d-15(e) under the Securities Exchange Act of 1934, as amended (the “Exchange Act”)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for timely decisions regarding required disclosure.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required by Rule 13a-15(b) and Rule 15d-15(b) under the Exchange Act, our management, including our Chief Executive Officer (who is our principal executive officer) and Chief Financial Officer (who is our principal financial officer), evaluated, as of June 30, 2026, the end of the period covered by this Form 10-Q, the effectiveness of our disclosure controls and procedures as defined in Exchange Act Rule 13a-15(e) and Rule 15d-15(e). Based on this evaluation, our Chief Executive Officer and Chief Financial Officer concluded that our disclosure controls and procedures were effective as of the end of the period covered by this Form 10-Q.</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believe that a controls system, no matter how well designed and operated, cannot provide absolute assurance that the objectives of the controls systems are met, and no evaluation of controls can provide absolute assurance that all control issues and instances of fraud or error, if any, within a company have been detected.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have not been any changes in our internal control over financial reporting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200" w:after="283"/>
        <w:jc w:val="both"/>
        <w:rPr/>
      </w:pPr>
      <w:hyperlink w:anchor="i4eefff2545794af2a9cb746809773a65_7">
        <w:r>
          <w:rPr>
            <w:rStyle w:val="InternetLink"/>
            <w:rFonts w:ascii="Times New Roman;serif" w:hAnsi="Times New Roman;serif"/>
            <w:b w:val="false"/>
            <w:color w:val="0000FF"/>
            <w:sz w:val="20"/>
            <w:u w:val="single"/>
          </w:rPr>
          <w:t>Table of Contents</w:t>
        </w:r>
      </w:hyperlink>
    </w:p>
    <w:p>
      <w:pPr>
        <w:pStyle w:val="TextBody"/>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 subject to legal proceedings, claims, investigations and government inquiries in the ordinary course of business. The Company has received, and may in the future continue to receive, claims from third parties.</w:t>
      </w:r>
    </w:p>
    <w:p>
      <w:pPr>
        <w:pStyle w:val="TextBody"/>
        <w:bidi w:val="0"/>
        <w:spacing w:lineRule="auto" w:line="288" w:before="240" w:after="283"/>
        <w:jc w:val="both"/>
        <w:rPr/>
      </w:pPr>
      <w:r>
        <w:rPr>
          <w:rFonts w:ascii="Times New Roman;serif" w:hAnsi="Times New Roman;serif"/>
          <w:b w:val="false"/>
          <w:color w:val="000000"/>
          <w:sz w:val="20"/>
        </w:rPr>
        <w:t xml:space="preserve">Please see the Notes to Unaudited Interim Condensed Consolidated Financial Statements, </w:t>
      </w:r>
      <w:r>
        <w:rPr>
          <w:rFonts w:ascii="Times New Roman;serif" w:hAnsi="Times New Roman;serif"/>
          <w:b w:val="false"/>
          <w:i/>
          <w:color w:val="000000"/>
          <w:sz w:val="20"/>
        </w:rPr>
        <w:t>Note 11 – Contingencies and Other – Claims and Litigation</w:t>
      </w:r>
      <w:r>
        <w:rPr>
          <w:rFonts w:ascii="Times New Roman;serif" w:hAnsi="Times New Roman;serif"/>
          <w:b w:val="false"/>
          <w:color w:val="000000"/>
          <w:sz w:val="20"/>
        </w:rPr>
        <w:t>,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ITEM 1A.</w:t>
      </w:r>
      <w:r>
        <w:rPr>
          <w:color w:val="000000"/>
        </w:rPr>
        <w:t> </w:t>
      </w:r>
      <w:r>
        <w:rPr>
          <w:rFonts w:ascii="Times New Roman;serif" w:hAnsi="Times New Roman;serif"/>
          <w:b/>
          <w:color w:val="000000"/>
          <w:sz w:val="20"/>
        </w:rPr>
        <w:t>RISK FACTORS.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Part I, Item 1A. “Risk Factors” in our Form 10-K includes a discussion of our risk factors. There have been no material changes from the risk factors described in the Form 10-K. We may disclose changes to such risk factors or disclose additional risk factors from time to time in our future SEC filings.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Issuer Purchases of Equity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related to our repurchases of Common Stock for the periods indicated:</w:t>
      </w:r>
    </w:p>
    <w:tbl>
      <w:tblPr>
        <w:tblW w:w="10205" w:type="dxa"/>
        <w:jc w:val="left"/>
        <w:tblInd w:w="0" w:type="dxa"/>
        <w:tblLayout w:type="fixed"/>
        <w:tblCellMar>
          <w:top w:w="28" w:type="dxa"/>
          <w:left w:w="28" w:type="dxa"/>
          <w:bottom w:w="28" w:type="dxa"/>
          <w:right w:w="28" w:type="dxa"/>
        </w:tblCellMar>
      </w:tblPr>
      <w:tblGrid>
        <w:gridCol w:w="390"/>
        <w:gridCol w:w="343"/>
        <w:gridCol w:w="345"/>
        <w:gridCol w:w="109"/>
        <w:gridCol w:w="109"/>
        <w:gridCol w:w="109"/>
        <w:gridCol w:w="588"/>
        <w:gridCol w:w="487"/>
        <w:gridCol w:w="489"/>
        <w:gridCol w:w="109"/>
        <w:gridCol w:w="109"/>
        <w:gridCol w:w="109"/>
        <w:gridCol w:w="301"/>
        <w:gridCol w:w="731"/>
        <w:gridCol w:w="155"/>
        <w:gridCol w:w="109"/>
        <w:gridCol w:w="109"/>
        <w:gridCol w:w="109"/>
        <w:gridCol w:w="821"/>
        <w:gridCol w:w="720"/>
        <w:gridCol w:w="722"/>
        <w:gridCol w:w="109"/>
        <w:gridCol w:w="109"/>
        <w:gridCol w:w="109"/>
        <w:gridCol w:w="408"/>
        <w:gridCol w:w="2091"/>
        <w:gridCol w:w="306"/>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07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pPr>
            <w:r>
              <w:rPr>
                <w:rFonts w:ascii="Times New Roman;serif" w:hAnsi="Times New Roman;serif"/>
                <w:b/>
                <w:color w:val="000000"/>
                <w:sz w:val="20"/>
              </w:rPr>
              <w:t>Total Number of Shares Purchased</w:t>
            </w:r>
            <w:r>
              <w:rPr>
                <w:rFonts w:ascii="Times New Roman;serif" w:hAnsi="Times New Roman;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pPr>
            <w:r>
              <w:rPr>
                <w:rFonts w:ascii="Times New Roman;serif" w:hAnsi="Times New Roman;serif"/>
                <w:b/>
                <w:color w:val="000000"/>
                <w:sz w:val="20"/>
              </w:rPr>
              <w:t>Total Number of Shares Purchased as Part of Publicly Announced Programs</w:t>
            </w:r>
            <w:r>
              <w:rPr>
                <w:rFonts w:ascii="Times New Roman;serif" w:hAnsi="Times New Roman;serif"/>
                <w:b/>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pPr>
            <w:r>
              <w:rPr>
                <w:rFonts w:ascii="Times New Roman;serif" w:hAnsi="Times New Roman;serif"/>
                <w:b/>
                <w:color w:val="000000"/>
                <w:sz w:val="20"/>
              </w:rPr>
              <w:t>Aggregate Maximum Dollar Amount that May Yet Be Purchased Under the Plans or Programs</w:t>
            </w:r>
            <w:r>
              <w:rPr>
                <w:rFonts w:ascii="Times New Roman;serif" w:hAnsi="Times New Roman;serif"/>
                <w:b/>
                <w:color w:val="000000"/>
                <w:sz w:val="12"/>
              </w:rPr>
              <w:t>3</w:t>
            </w:r>
          </w:p>
        </w:tc>
      </w:tr>
      <w:tr>
        <w:trPr/>
        <w:tc>
          <w:tcPr>
            <w:tcW w:w="10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April 1, 2026 to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20,000,000 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May 1, 2026 to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20,000,000 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June 1, 2026 to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320,000 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320,000 </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17,996,772 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320,000 </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320,000 </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0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17,996,772 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1</w:t>
      </w:r>
      <w:r>
        <w:rPr>
          <w:rFonts w:ascii="Times New Roman;serif" w:hAnsi="Times New Roman;serif"/>
          <w:b w:val="false"/>
          <w:color w:val="000000"/>
          <w:sz w:val="16"/>
        </w:rPr>
        <w:t xml:space="preserve">In April 2026, the Board of Directors of the Company approved a normal course issuer bid to repurchase up to 3,643,818 shares of the Company’s Common Stock, subject to a $20 million cap, and repurchases may be made through open-market repurchases, privately negotiated transactions or otherwise. The program was publicly announced by the Company on April 30, 2026, and repurchases may be made from time to time over a period of 12 months ending April 30, 2027, unless such share or dollar limit is met sooner. </w:t>
      </w:r>
    </w:p>
    <w:p>
      <w:pPr>
        <w:pStyle w:val="TextBody"/>
        <w:bidi w:val="0"/>
        <w:spacing w:lineRule="auto" w:line="288" w:before="200" w:after="283"/>
        <w:jc w:val="both"/>
        <w:rPr/>
      </w:pPr>
      <w:r>
        <w:rPr>
          <w:rFonts w:ascii="Times New Roman;serif" w:hAnsi="Times New Roman;serif"/>
          <w:b w:val="false"/>
          <w:color w:val="000000"/>
          <w:sz w:val="12"/>
        </w:rPr>
        <w:t>2</w:t>
      </w:r>
      <w:r>
        <w:rPr>
          <w:rFonts w:ascii="Times New Roman;serif" w:hAnsi="Times New Roman;serif"/>
          <w:b w:val="false"/>
          <w:color w:val="000000"/>
          <w:sz w:val="16"/>
        </w:rPr>
        <w:t>Notwithstanding the dollar limitation, the Company has remaining authorization to purchase up to 3,323,818 shares of common stock under the Board’s share repurchase program authorization.</w:t>
      </w:r>
    </w:p>
    <w:p>
      <w:pPr>
        <w:pStyle w:val="TextBody"/>
        <w:bidi w:val="0"/>
        <w:spacing w:lineRule="auto" w:line="288" w:before="200" w:after="283"/>
        <w:jc w:val="both"/>
        <w:rPr/>
      </w:pPr>
      <w:r>
        <w:rPr>
          <w:rFonts w:ascii="Times New Roman;serif" w:hAnsi="Times New Roman;serif"/>
          <w:b w:val="false"/>
          <w:color w:val="000000"/>
          <w:sz w:val="12"/>
        </w:rPr>
        <w:t>3</w:t>
      </w:r>
      <w:r>
        <w:rPr>
          <w:rFonts w:ascii="Times New Roman;serif" w:hAnsi="Times New Roman;serif"/>
          <w:b w:val="false"/>
          <w:color w:val="000000"/>
          <w:sz w:val="16"/>
        </w:rPr>
        <w:t>Includes taxes and fees.</w:t>
      </w:r>
    </w:p>
    <w:p>
      <w:pPr>
        <w:pStyle w:val="TextBody"/>
        <w:bidi w:val="0"/>
        <w:spacing w:lineRule="auto" w:line="288" w:before="200" w:after="283"/>
        <w:jc w:val="both"/>
        <w:rPr>
          <w:rFonts w:ascii="Times New Roman;serif" w:hAnsi="Times New Roman;serif"/>
          <w:b/>
          <w:color w:val="000000"/>
          <w:sz w:val="20"/>
          <w:u w:val="single"/>
        </w:rPr>
      </w:pPr>
      <w:r>
        <w:rPr>
          <w:rFonts w:ascii="Times New Roman;serif" w:hAnsi="Times New Roman;serif"/>
          <w:b/>
          <w:color w:val="000000"/>
          <w:sz w:val="20"/>
          <w:u w:val="single"/>
        </w:rPr>
        <w:t>Unregistered Sales of Equity Securities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None which have not been reported on a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60" w:after="283"/>
        <w:jc w:val="both"/>
        <w:rPr/>
      </w:pPr>
      <w:r>
        <w:rPr>
          <w:rFonts w:ascii="Times New Roman;serif" w:hAnsi="Times New Roman;serif"/>
          <w:b w:val="false"/>
          <w:color w:val="000000"/>
          <w:sz w:val="20"/>
        </w:rPr>
        <w:t xml:space="preserve">Rule </w:t>
      </w:r>
      <w:r>
        <w:rPr>
          <w:rFonts w:ascii="Times New Roman;serif" w:hAnsi="Times New Roman;serif"/>
          <w:b w:val="false"/>
          <w:i/>
          <w:color w:val="000000"/>
          <w:sz w:val="20"/>
        </w:rPr>
        <w:t>10b5-1</w:t>
      </w:r>
      <w:r>
        <w:rPr>
          <w:color w:val="000000"/>
        </w:rPr>
        <w:t xml:space="preserve"> </w:t>
      </w:r>
      <w:r>
        <w:rPr>
          <w:rFonts w:ascii="Times New Roman;serif" w:hAnsi="Times New Roman;serif"/>
          <w:b w:val="false"/>
          <w:color w:val="000000"/>
          <w:sz w:val="20"/>
        </w:rPr>
        <w:t>Trading Plans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During the second quarter ended June 30, 2026, none of our directors or officers have adopted or terminated a “Rule 10b5-1 trading arrangement” or “non-Rule 10b5-1 trading arrangement,” as those terms are defined in Regulation S-K, Item 408(a).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4eefff2545794af2a9cb746809773a6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02"/>
        <w:gridCol w:w="265"/>
        <w:gridCol w:w="266"/>
        <w:gridCol w:w="109"/>
        <w:gridCol w:w="109"/>
        <w:gridCol w:w="109"/>
        <w:gridCol w:w="2768"/>
        <w:gridCol w:w="2590"/>
        <w:gridCol w:w="3687"/>
      </w:tblGrid>
      <w:tr>
        <w:trPr/>
        <w:tc>
          <w:tcPr>
            <w:tcW w:w="30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3687"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8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r:id="rId2">
              <w:r>
                <w:rPr>
                  <w:rStyle w:val="InternetLink"/>
                  <w:rFonts w:ascii="Times New Roman;serif" w:hAnsi="Times New Roman;serif"/>
                  <w:b w:val="false"/>
                  <w:color w:val="0000FF"/>
                  <w:sz w:val="20"/>
                  <w:u w:val="single"/>
                </w:rPr>
                <w:t>Articles of Domestication, dated November 3, 2025 (filed as Exhibit 3.1 to our Current Report on Form 8-K12G3 filed on November 4, 2025 (File No. 000-56342) and incorporated herein by reference).</w:t>
              </w:r>
            </w:hyperlink>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r:id="rId3">
              <w:r>
                <w:rPr>
                  <w:rStyle w:val="InternetLink"/>
                  <w:rFonts w:ascii="Times New Roman;serif" w:hAnsi="Times New Roman;serif"/>
                  <w:b w:val="false"/>
                  <w:color w:val="0000FF"/>
                  <w:sz w:val="20"/>
                  <w:u w:val="single"/>
                </w:rPr>
                <w:t>Articles of Incorporation of Verano Holdings Corp., a Nevada corporation, dated November 3, 2025 (filed as Exhibit 3.2 to our Current Report on Form 8-K12G3 filed on November 4, 2025 (File No. 000-56342) and incorporated herein by reference).</w:t>
              </w:r>
            </w:hyperlink>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r:id="rId4">
              <w:r>
                <w:rPr>
                  <w:rStyle w:val="InternetLink"/>
                  <w:rFonts w:ascii="Times New Roman;serif" w:hAnsi="Times New Roman;serif"/>
                  <w:b w:val="false"/>
                  <w:color w:val="0000FF"/>
                  <w:sz w:val="20"/>
                  <w:u w:val="single"/>
                </w:rPr>
                <w:t>Bylaws of Verano Holdings Corp., a Nevada corporation, dated November 3, 2025 (filed as Exhibit 3.3 to our Current Report on Form 8-K12G3 filed on November 4, 2025 (File No. 000-56342) and incorporated herein by reference).</w:t>
              </w:r>
            </w:hyperlink>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r:id="rId5">
              <w:r>
                <w:rPr>
                  <w:rStyle w:val="InternetLink"/>
                  <w:rFonts w:ascii="Times New Roman;serif" w:hAnsi="Times New Roman;serif"/>
                  <w:b w:val="false"/>
                  <w:color w:val="0000FF"/>
                  <w:sz w:val="20"/>
                  <w:u w:val="single"/>
                </w:rPr>
                <w:t>Certificate of Change (filed as Exhibit 3.1 to our Current Report on Form 8-K filed on June 8, 2026 (File No. 000-56342) and incorporated herein by reference).</w:t>
              </w:r>
            </w:hyperlink>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w:anchor="ceocert302-63026ex311.htm">
              <w:r>
                <w:rPr>
                  <w:rStyle w:val="InternetLink"/>
                  <w:rFonts w:ascii="Times New Roman;serif" w:hAnsi="Times New Roman;serif"/>
                  <w:b w:val="false"/>
                  <w:color w:val="0000FF"/>
                  <w:sz w:val="20"/>
                  <w:u w:val="single"/>
                </w:rPr>
                <w:t>Certification of Chief Executive Officer Pursuant to Rule 13a-14(a) and Rule 15d-14(a) of the Securities Exchange Act of 1934, as amended.</w:t>
              </w:r>
            </w:hyperlink>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w:anchor="cfocert302-63026ex312.htm">
              <w:r>
                <w:rPr>
                  <w:rStyle w:val="InternetLink"/>
                  <w:rFonts w:ascii="Times New Roman;serif" w:hAnsi="Times New Roman;serif"/>
                  <w:b w:val="false"/>
                  <w:color w:val="0000FF"/>
                  <w:sz w:val="20"/>
                  <w:u w:val="single"/>
                </w:rPr>
                <w:t>Certification of Chief Financial Officer Pursuant to Rule 13a-14(a) and Rule 15d-14(a) of the Securities Exchange Act of 1934, as amended.</w:t>
              </w:r>
            </w:hyperlink>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w:anchor="ceocert906-63026ex32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w:anchor="cfocert906-63026ex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Previously filed.</w:t>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200" w:after="283"/>
        <w:jc w:val="both"/>
        <w:rPr/>
      </w:pPr>
      <w:hyperlink w:anchor="i4eefff2545794af2a9cb746809773a6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Dated: August 5, 2026</w:t>
      </w:r>
    </w:p>
    <w:tbl>
      <w:tblPr>
        <w:tblW w:w="4799" w:type="dxa"/>
        <w:jc w:val="left"/>
        <w:tblInd w:w="0" w:type="dxa"/>
        <w:tblLayout w:type="fixed"/>
        <w:tblCellMar>
          <w:top w:w="28" w:type="dxa"/>
          <w:left w:w="28" w:type="dxa"/>
          <w:bottom w:w="28" w:type="dxa"/>
          <w:right w:w="28" w:type="dxa"/>
        </w:tblCellMar>
      </w:tblPr>
      <w:tblGrid>
        <w:gridCol w:w="124"/>
        <w:gridCol w:w="109"/>
        <w:gridCol w:w="109"/>
        <w:gridCol w:w="416"/>
        <w:gridCol w:w="416"/>
        <w:gridCol w:w="416"/>
        <w:gridCol w:w="930"/>
        <w:gridCol w:w="930"/>
        <w:gridCol w:w="13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7"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VERANO HOLDINGS CORP.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/s/ George Archos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George Archos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bl>
    <w:p>
      <w:pPr>
        <w:pStyle w:val="TextBody"/>
        <w:bidi w:val="0"/>
        <w:spacing w:before="200" w:after="283"/>
        <w:jc w:val="left"/>
        <w:rPr/>
      </w:pPr>
      <w:r>
        <w:rPr/>
      </w:r>
    </w:p>
    <w:tbl>
      <w:tblPr>
        <w:tblW w:w="4121"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921"/>
        <w:gridCol w:w="921"/>
        <w:gridCol w:w="13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/s/ Richard Tarapchak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Richard Tarapchak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CERTIFICATE OF CHIEF EXECUTIVE OFFICER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302 OF THE SARBANES-OXLEY ACT OF 2002</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George Archos, certify that: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Verano Holdings Corp.;</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464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723"/>
        <w:gridCol w:w="723"/>
        <w:gridCol w:w="102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George Archos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George Archos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CERTIFICATE OF CHIEF FINANCIAL OFFICER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302 OF THE SARBANES-OXLEY ACT OF 2002</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Richard Tarapchak, certify that: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Verano Holdings Corp.;</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4586"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706"/>
        <w:gridCol w:w="706"/>
        <w:gridCol w:w="100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Richard Tarapchak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Tarapchak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 PURSUANT TO 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of Verano Holdings Corp. (the “Company”) for the three and six months ended June 30, 2026 as filed with the Securities and Exchange Commission on the date hereof (the “Report”), I, George Archos, Chief Executive Officer of the Company, certify pursuant to 18 U.S.C. Section 1350, as adopted pursuant to Section 906 of the Sarbanes-Oxley Act of 2002, that, to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 </w:t>
      </w:r>
    </w:p>
    <w:p>
      <w:pPr>
        <w:pStyle w:val="TextBody"/>
        <w:bidi w:val="0"/>
        <w:spacing w:before="0" w:after="0"/>
        <w:jc w:val="left"/>
        <w:rPr/>
      </w:pPr>
      <w:r>
        <w:rPr/>
      </w:r>
    </w:p>
    <w:tbl>
      <w:tblPr>
        <w:tblW w:w="464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723"/>
        <w:gridCol w:w="723"/>
        <w:gridCol w:w="102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George Archos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George Archos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 PURSUANT TO 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of Verano Holdings Corp. (the “Company”) for the three and six months ended June 30, 2026 as filed with the Securities and Exchange Commission on the date hereof (the “Report”), I, Richard Tarapchak, Chief Financial Officer of the Company, certify pursuant to 18 U.S.C. Section 1350, as adopted pursuant to Section 906 of the Sarbanes-Oxley Act of 2002, that, to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 </w:t>
      </w:r>
    </w:p>
    <w:p>
      <w:pPr>
        <w:pStyle w:val="TextBody"/>
        <w:bidi w:val="0"/>
        <w:spacing w:before="0" w:after="0"/>
        <w:jc w:val="left"/>
        <w:rPr/>
      </w:pPr>
      <w:r>
        <w:rPr/>
      </w:r>
    </w:p>
    <w:tbl>
      <w:tblPr>
        <w:tblW w:w="4586"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706"/>
        <w:gridCol w:w="706"/>
        <w:gridCol w:w="100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Richard Tarapchak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Tarapchak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8416/000149315225020684/ex3-1.htm" TargetMode="External"/><Relationship Id="rId3" Type="http://schemas.openxmlformats.org/officeDocument/2006/relationships/hyperlink" Target="https://www.sec.gov/Archives/edgar/data/1848416/000149315225020684/ex3-2.htm" TargetMode="External"/><Relationship Id="rId4" Type="http://schemas.openxmlformats.org/officeDocument/2006/relationships/hyperlink" Target="https://www.sec.gov/Archives/edgar/data/1848416/000149315225020684/ex3-3.htm" TargetMode="External"/><Relationship Id="rId5" Type="http://schemas.openxmlformats.org/officeDocument/2006/relationships/hyperlink" Target="https://www.sec.gov/Archives/edgar/data/1848416/000149315226027720/ex3-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25161</Words>
  <Characters>140465</Characters>
  <CharactersWithSpaces>164101</CharactersWithSpaces>
  <Paragraphs>2484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